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21BE7" w14:textId="12A94E8F" w:rsidR="00DE14E9" w:rsidRPr="009314CC" w:rsidRDefault="00E65743" w:rsidP="00E65743">
      <w:pPr>
        <w:spacing w:after="120"/>
        <w:rPr>
          <w:rStyle w:val="Heading1Char"/>
          <w:rFonts w:eastAsia="Calibri"/>
          <w:color w:val="0095D0"/>
          <w:sz w:val="32"/>
        </w:rPr>
      </w:pPr>
      <w:r w:rsidRPr="005602A2">
        <w:rPr>
          <w:rStyle w:val="Heading1Char"/>
          <w:rFonts w:eastAsia="Calibri"/>
          <w:sz w:val="32"/>
        </w:rPr>
        <w:t>Briefing</w:t>
      </w:r>
      <w:r w:rsidR="00ED1C9B" w:rsidRPr="005602A2">
        <w:rPr>
          <w:rStyle w:val="Heading1Char"/>
          <w:rFonts w:eastAsia="Calibri"/>
          <w:sz w:val="32"/>
        </w:rPr>
        <w:t xml:space="preserve"> </w:t>
      </w:r>
      <w:r w:rsidR="005B09A5">
        <w:rPr>
          <w:rStyle w:val="Heading1Char"/>
          <w:rFonts w:eastAsia="Calibri"/>
          <w:sz w:val="32"/>
        </w:rPr>
        <w:t>to</w:t>
      </w:r>
      <w:r w:rsidR="00ED1C9B" w:rsidRPr="005602A2">
        <w:rPr>
          <w:rStyle w:val="Heading1Char"/>
          <w:rFonts w:eastAsia="Calibri"/>
          <w:sz w:val="32"/>
        </w:rPr>
        <w:t xml:space="preserve"> members</w:t>
      </w:r>
    </w:p>
    <w:p w14:paraId="641E8C94" w14:textId="01DC2D48" w:rsidR="00E65743" w:rsidRPr="00ED1C9B" w:rsidRDefault="00AD13FE" w:rsidP="00E65743">
      <w:pPr>
        <w:spacing w:after="120"/>
        <w:rPr>
          <w:b/>
          <w:bCs/>
          <w:caps/>
          <w:color w:val="009BDA"/>
          <w:sz w:val="28"/>
          <w:szCs w:val="28"/>
        </w:rPr>
      </w:pPr>
      <w:r>
        <w:rPr>
          <w:rStyle w:val="Heading1Char"/>
          <w:rFonts w:eastAsia="Calibri"/>
          <w:sz w:val="28"/>
          <w:szCs w:val="28"/>
        </w:rPr>
        <w:t>reference budgets: promoting a common methodology</w:t>
      </w:r>
    </w:p>
    <w:p w14:paraId="028BF610" w14:textId="36E7DDF1" w:rsidR="00A352F8" w:rsidRPr="00380551" w:rsidRDefault="00683382" w:rsidP="00E65743">
      <w:pPr>
        <w:shd w:val="clear" w:color="auto" w:fill="FFFFFF"/>
        <w:spacing w:after="0" w:line="240" w:lineRule="auto"/>
        <w:rPr>
          <w:rFonts w:eastAsia="Times New Roman" w:cs="Arial"/>
          <w:i/>
          <w:color w:val="0099FF"/>
          <w:szCs w:val="20"/>
          <w:lang w:eastAsia="en-GB"/>
        </w:rPr>
      </w:pPr>
      <w:r w:rsidRPr="00F42BFD">
        <w:rPr>
          <w:rFonts w:eastAsia="Times New Roman" w:cs="Arial"/>
          <w:color w:val="212121"/>
          <w:szCs w:val="20"/>
          <w:lang w:eastAsia="en-GB"/>
        </w:rPr>
        <w:tab/>
      </w:r>
      <w:r w:rsidRPr="00F42BFD">
        <w:rPr>
          <w:rFonts w:eastAsia="Times New Roman" w:cs="Arial"/>
          <w:color w:val="212121"/>
          <w:szCs w:val="20"/>
          <w:lang w:eastAsia="en-GB"/>
        </w:rPr>
        <w:tab/>
      </w:r>
      <w:r w:rsidRPr="00F42BFD">
        <w:rPr>
          <w:rFonts w:eastAsia="Times New Roman" w:cs="Arial"/>
          <w:color w:val="212121"/>
          <w:szCs w:val="20"/>
          <w:lang w:eastAsia="en-GB"/>
        </w:rPr>
        <w:tab/>
      </w:r>
      <w:r w:rsidRPr="00F42BFD">
        <w:rPr>
          <w:rFonts w:eastAsia="Times New Roman" w:cs="Arial"/>
          <w:color w:val="212121"/>
          <w:szCs w:val="20"/>
          <w:lang w:eastAsia="en-GB"/>
        </w:rPr>
        <w:tab/>
      </w:r>
      <w:r w:rsidRPr="00F42BFD">
        <w:rPr>
          <w:rFonts w:eastAsia="Times New Roman" w:cs="Arial"/>
          <w:color w:val="212121"/>
          <w:szCs w:val="20"/>
          <w:lang w:eastAsia="en-GB"/>
        </w:rPr>
        <w:tab/>
      </w:r>
      <w:r w:rsidRPr="00F42BFD">
        <w:rPr>
          <w:rFonts w:eastAsia="Times New Roman" w:cs="Arial"/>
          <w:color w:val="212121"/>
          <w:szCs w:val="20"/>
          <w:lang w:eastAsia="en-GB"/>
        </w:rPr>
        <w:tab/>
      </w:r>
      <w:r w:rsidRPr="00F42BFD">
        <w:rPr>
          <w:rFonts w:eastAsia="Times New Roman" w:cs="Arial"/>
          <w:color w:val="212121"/>
          <w:szCs w:val="20"/>
          <w:lang w:eastAsia="en-GB"/>
        </w:rPr>
        <w:tab/>
      </w:r>
      <w:r w:rsidRPr="00F42BFD">
        <w:rPr>
          <w:rFonts w:eastAsia="Times New Roman" w:cs="Arial"/>
          <w:color w:val="212121"/>
          <w:szCs w:val="20"/>
          <w:lang w:eastAsia="en-GB"/>
        </w:rPr>
        <w:tab/>
      </w:r>
      <w:r w:rsidRPr="00F42BFD">
        <w:rPr>
          <w:rFonts w:eastAsia="Times New Roman" w:cs="Arial"/>
          <w:color w:val="212121"/>
          <w:szCs w:val="20"/>
          <w:lang w:eastAsia="en-GB"/>
        </w:rPr>
        <w:tab/>
      </w:r>
      <w:r w:rsidRPr="00F42BFD">
        <w:rPr>
          <w:rFonts w:eastAsia="Times New Roman" w:cs="Arial"/>
          <w:color w:val="212121"/>
          <w:szCs w:val="20"/>
          <w:lang w:eastAsia="en-GB"/>
        </w:rPr>
        <w:tab/>
      </w:r>
      <w:r w:rsidRPr="00F42BFD">
        <w:rPr>
          <w:rFonts w:eastAsia="Times New Roman" w:cs="Arial"/>
          <w:color w:val="212121"/>
          <w:szCs w:val="20"/>
          <w:lang w:eastAsia="en-GB"/>
        </w:rPr>
        <w:tab/>
      </w:r>
      <w:r w:rsidRPr="00380551">
        <w:rPr>
          <w:rFonts w:eastAsia="Times New Roman" w:cs="Arial"/>
          <w:i/>
          <w:color w:val="0099FF"/>
          <w:szCs w:val="20"/>
          <w:lang w:eastAsia="en-GB"/>
        </w:rPr>
        <w:t>December 2015</w:t>
      </w:r>
    </w:p>
    <w:p w14:paraId="45B4CD2D" w14:textId="44300DBD" w:rsidR="00A352F8" w:rsidRPr="00A352F8" w:rsidRDefault="00A352F8" w:rsidP="00957134">
      <w:pPr>
        <w:pStyle w:val="Heading3"/>
        <w:spacing w:line="240" w:lineRule="auto"/>
        <w:rPr>
          <w:lang w:eastAsia="en-GB"/>
        </w:rPr>
      </w:pPr>
      <w:r w:rsidRPr="00A352F8">
        <w:rPr>
          <w:lang w:eastAsia="en-GB"/>
        </w:rPr>
        <w:t>Introduction</w:t>
      </w:r>
    </w:p>
    <w:p w14:paraId="7CAAE592" w14:textId="587A09BA" w:rsidR="00861E09" w:rsidRDefault="002C12B0" w:rsidP="004C1979">
      <w:pPr>
        <w:shd w:val="clear" w:color="auto" w:fill="FFFFFF"/>
        <w:spacing w:after="0" w:line="240" w:lineRule="auto"/>
        <w:jc w:val="both"/>
        <w:rPr>
          <w:rFonts w:eastAsia="Times New Roman" w:cs="Arial"/>
          <w:color w:val="212121"/>
          <w:szCs w:val="20"/>
          <w:lang w:eastAsia="en-GB"/>
        </w:rPr>
      </w:pPr>
      <w:r>
        <w:rPr>
          <w:rFonts w:eastAsia="Times New Roman" w:cs="Arial"/>
          <w:color w:val="212121"/>
          <w:szCs w:val="20"/>
          <w:lang w:eastAsia="en-GB"/>
        </w:rPr>
        <w:t>I</w:t>
      </w:r>
      <w:r w:rsidR="00F762C6">
        <w:rPr>
          <w:rFonts w:eastAsia="Times New Roman" w:cs="Arial"/>
          <w:color w:val="212121"/>
          <w:szCs w:val="20"/>
          <w:lang w:eastAsia="en-GB"/>
        </w:rPr>
        <w:t xml:space="preserve">n 2013, the European Commission </w:t>
      </w:r>
      <w:r>
        <w:rPr>
          <w:rFonts w:eastAsia="Times New Roman" w:cs="Arial"/>
          <w:color w:val="212121"/>
          <w:szCs w:val="20"/>
          <w:lang w:eastAsia="en-GB"/>
        </w:rPr>
        <w:t xml:space="preserve">proposed </w:t>
      </w:r>
      <w:r w:rsidRPr="007D325D">
        <w:rPr>
          <w:rFonts w:eastAsia="Times New Roman" w:cs="Arial"/>
          <w:color w:val="212121"/>
          <w:szCs w:val="20"/>
          <w:lang w:eastAsia="en-GB"/>
        </w:rPr>
        <w:t xml:space="preserve">reference budgets as part of the Social Investment </w:t>
      </w:r>
      <w:r w:rsidR="00DF299A">
        <w:rPr>
          <w:rFonts w:eastAsia="Times New Roman" w:cs="Arial"/>
          <w:color w:val="212121"/>
          <w:szCs w:val="20"/>
          <w:lang w:eastAsia="en-GB"/>
        </w:rPr>
        <w:t>P</w:t>
      </w:r>
      <w:r w:rsidRPr="007D325D">
        <w:rPr>
          <w:rFonts w:eastAsia="Times New Roman" w:cs="Arial"/>
          <w:color w:val="212121"/>
          <w:szCs w:val="20"/>
          <w:lang w:eastAsia="en-GB"/>
        </w:rPr>
        <w:t>ackage</w:t>
      </w:r>
      <w:r w:rsidR="00DF299A">
        <w:rPr>
          <w:rStyle w:val="FootnoteReference"/>
          <w:rFonts w:eastAsia="Times New Roman" w:cs="Arial"/>
          <w:color w:val="212121"/>
          <w:szCs w:val="20"/>
          <w:lang w:eastAsia="en-GB"/>
        </w:rPr>
        <w:footnoteReference w:id="1"/>
      </w:r>
      <w:r w:rsidRPr="007D325D">
        <w:rPr>
          <w:rFonts w:eastAsia="Times New Roman" w:cs="Arial"/>
          <w:color w:val="212121"/>
          <w:szCs w:val="20"/>
          <w:lang w:eastAsia="en-GB"/>
        </w:rPr>
        <w:t xml:space="preserve"> to help Member States design</w:t>
      </w:r>
      <w:r w:rsidR="005450FA">
        <w:rPr>
          <w:rFonts w:eastAsia="Times New Roman" w:cs="Arial"/>
          <w:color w:val="212121"/>
          <w:szCs w:val="20"/>
          <w:lang w:eastAsia="en-GB"/>
        </w:rPr>
        <w:t xml:space="preserve"> and implement</w:t>
      </w:r>
      <w:r w:rsidRPr="007D325D">
        <w:rPr>
          <w:rFonts w:eastAsia="Times New Roman" w:cs="Arial"/>
          <w:color w:val="212121"/>
          <w:szCs w:val="20"/>
          <w:lang w:eastAsia="en-GB"/>
        </w:rPr>
        <w:t xml:space="preserve"> adequate income support</w:t>
      </w:r>
      <w:r>
        <w:rPr>
          <w:rFonts w:eastAsia="Times New Roman" w:cs="Arial"/>
          <w:color w:val="212121"/>
          <w:szCs w:val="20"/>
          <w:lang w:eastAsia="en-GB"/>
        </w:rPr>
        <w:t xml:space="preserve">. </w:t>
      </w:r>
      <w:r w:rsidR="005450FA">
        <w:rPr>
          <w:rFonts w:eastAsia="Times New Roman" w:cs="Arial"/>
          <w:color w:val="212121"/>
          <w:szCs w:val="20"/>
          <w:lang w:eastAsia="en-GB"/>
        </w:rPr>
        <w:t xml:space="preserve">As noted in </w:t>
      </w:r>
      <w:proofErr w:type="spellStart"/>
      <w:r w:rsidR="005450FA">
        <w:rPr>
          <w:rFonts w:eastAsia="Times New Roman" w:cs="Arial"/>
          <w:color w:val="212121"/>
          <w:szCs w:val="20"/>
          <w:lang w:eastAsia="en-GB"/>
        </w:rPr>
        <w:t>Eurodiaconia’s</w:t>
      </w:r>
      <w:proofErr w:type="spellEnd"/>
      <w:r w:rsidR="005450FA">
        <w:rPr>
          <w:rFonts w:eastAsia="Times New Roman" w:cs="Arial"/>
          <w:color w:val="212121"/>
          <w:szCs w:val="20"/>
          <w:lang w:eastAsia="en-GB"/>
        </w:rPr>
        <w:t xml:space="preserve"> briefing on the state of play regarding Minimum Income schemes in Europe,</w:t>
      </w:r>
      <w:r w:rsidR="00730F89">
        <w:rPr>
          <w:rStyle w:val="FootnoteReference"/>
          <w:rFonts w:eastAsia="Times New Roman" w:cs="Arial"/>
          <w:color w:val="212121"/>
          <w:szCs w:val="20"/>
          <w:lang w:eastAsia="en-GB"/>
        </w:rPr>
        <w:footnoteReference w:id="2"/>
      </w:r>
      <w:r w:rsidR="005450FA">
        <w:rPr>
          <w:rFonts w:eastAsia="Times New Roman" w:cs="Arial"/>
          <w:color w:val="212121"/>
          <w:szCs w:val="20"/>
          <w:lang w:eastAsia="en-GB"/>
        </w:rPr>
        <w:t xml:space="preserve"> </w:t>
      </w:r>
      <w:r w:rsidR="00861E09">
        <w:rPr>
          <w:rFonts w:eastAsia="Times New Roman" w:cs="Arial"/>
          <w:color w:val="212121"/>
          <w:szCs w:val="20"/>
          <w:lang w:eastAsia="en-GB"/>
        </w:rPr>
        <w:t>existing safety nets for those who don’t have access to (decent) jobs are rarely sufficient to meet their beneficiaries’ needs. Reference budgets provide a key tool in addressing this challenge and have already been introduced in various EU Member States; however, they</w:t>
      </w:r>
      <w:r w:rsidR="004C1979">
        <w:rPr>
          <w:rFonts w:eastAsia="Times New Roman" w:cs="Arial"/>
          <w:color w:val="212121"/>
          <w:szCs w:val="20"/>
          <w:lang w:eastAsia="en-GB"/>
        </w:rPr>
        <w:t xml:space="preserve"> </w:t>
      </w:r>
      <w:r w:rsidR="007D325D">
        <w:rPr>
          <w:rFonts w:eastAsia="Times New Roman" w:cs="Arial"/>
          <w:color w:val="212121"/>
          <w:szCs w:val="20"/>
          <w:lang w:eastAsia="en-GB"/>
        </w:rPr>
        <w:t xml:space="preserve">have been created (largely) </w:t>
      </w:r>
      <w:r w:rsidR="004C1979">
        <w:rPr>
          <w:rFonts w:eastAsia="Times New Roman" w:cs="Arial"/>
          <w:color w:val="212121"/>
          <w:szCs w:val="20"/>
          <w:lang w:eastAsia="en-GB"/>
        </w:rPr>
        <w:t xml:space="preserve">independently </w:t>
      </w:r>
      <w:r w:rsidR="00077DFD">
        <w:rPr>
          <w:rFonts w:eastAsia="Times New Roman" w:cs="Arial"/>
          <w:color w:val="212121"/>
          <w:szCs w:val="20"/>
          <w:lang w:eastAsia="en-GB"/>
        </w:rPr>
        <w:t>from each other</w:t>
      </w:r>
      <w:r w:rsidR="007D325D">
        <w:rPr>
          <w:rFonts w:eastAsia="Times New Roman" w:cs="Arial"/>
          <w:color w:val="212121"/>
          <w:szCs w:val="20"/>
          <w:lang w:eastAsia="en-GB"/>
        </w:rPr>
        <w:t xml:space="preserve">, which </w:t>
      </w:r>
      <w:r w:rsidR="00077DFD">
        <w:rPr>
          <w:rFonts w:eastAsia="Times New Roman" w:cs="Arial"/>
          <w:color w:val="212121"/>
          <w:szCs w:val="20"/>
          <w:lang w:eastAsia="en-GB"/>
        </w:rPr>
        <w:t xml:space="preserve">currently </w:t>
      </w:r>
      <w:r w:rsidR="007D325D">
        <w:rPr>
          <w:rFonts w:eastAsia="Times New Roman" w:cs="Arial"/>
          <w:color w:val="212121"/>
          <w:szCs w:val="20"/>
          <w:lang w:eastAsia="en-GB"/>
        </w:rPr>
        <w:t>restricts</w:t>
      </w:r>
      <w:r w:rsidR="004C1979">
        <w:rPr>
          <w:rFonts w:eastAsia="Times New Roman" w:cs="Arial"/>
          <w:color w:val="212121"/>
          <w:szCs w:val="20"/>
          <w:lang w:eastAsia="en-GB"/>
        </w:rPr>
        <w:t xml:space="preserve"> cross-country comparisons and</w:t>
      </w:r>
      <w:r w:rsidR="007D325D">
        <w:rPr>
          <w:rFonts w:eastAsia="Times New Roman" w:cs="Arial"/>
          <w:color w:val="212121"/>
          <w:szCs w:val="20"/>
          <w:lang w:eastAsia="en-GB"/>
        </w:rPr>
        <w:t xml:space="preserve"> mutual</w:t>
      </w:r>
      <w:r w:rsidR="004C1979">
        <w:rPr>
          <w:rFonts w:eastAsia="Times New Roman" w:cs="Arial"/>
          <w:color w:val="212121"/>
          <w:szCs w:val="20"/>
          <w:lang w:eastAsia="en-GB"/>
        </w:rPr>
        <w:t xml:space="preserve"> learning. </w:t>
      </w:r>
    </w:p>
    <w:p w14:paraId="0A1F2074" w14:textId="77777777" w:rsidR="00861E09" w:rsidRDefault="00861E09" w:rsidP="004C1979">
      <w:pPr>
        <w:shd w:val="clear" w:color="auto" w:fill="FFFFFF"/>
        <w:spacing w:after="0" w:line="240" w:lineRule="auto"/>
        <w:jc w:val="both"/>
        <w:rPr>
          <w:rFonts w:eastAsia="Times New Roman" w:cs="Arial"/>
          <w:color w:val="212121"/>
          <w:szCs w:val="20"/>
          <w:lang w:eastAsia="en-GB"/>
        </w:rPr>
      </w:pPr>
    </w:p>
    <w:p w14:paraId="5200A012" w14:textId="40055BFD" w:rsidR="00910BE1" w:rsidRDefault="002C12B0" w:rsidP="004C1979">
      <w:pPr>
        <w:shd w:val="clear" w:color="auto" w:fill="FFFFFF"/>
        <w:spacing w:after="0" w:line="240" w:lineRule="auto"/>
        <w:jc w:val="both"/>
        <w:rPr>
          <w:rFonts w:eastAsia="Times New Roman" w:cs="Arial"/>
          <w:color w:val="212121"/>
          <w:szCs w:val="20"/>
          <w:lang w:eastAsia="en-GB"/>
        </w:rPr>
      </w:pPr>
      <w:r>
        <w:rPr>
          <w:rFonts w:eastAsia="Times New Roman" w:cs="Arial"/>
          <w:color w:val="212121"/>
          <w:szCs w:val="20"/>
          <w:lang w:eastAsia="en-GB"/>
        </w:rPr>
        <w:t xml:space="preserve">Therefore, </w:t>
      </w:r>
      <w:r w:rsidR="007D325D">
        <w:rPr>
          <w:rFonts w:eastAsia="Times New Roman" w:cs="Arial"/>
          <w:color w:val="212121"/>
          <w:szCs w:val="20"/>
          <w:lang w:eastAsia="en-GB"/>
        </w:rPr>
        <w:t>the European Commission recently</w:t>
      </w:r>
      <w:r>
        <w:rPr>
          <w:rFonts w:eastAsia="Times New Roman" w:cs="Arial"/>
          <w:color w:val="212121"/>
          <w:szCs w:val="20"/>
          <w:lang w:eastAsia="en-GB"/>
        </w:rPr>
        <w:t xml:space="preserve"> launched </w:t>
      </w:r>
      <w:r w:rsidRPr="007D325D">
        <w:rPr>
          <w:rFonts w:eastAsia="Times New Roman" w:cs="Arial"/>
          <w:color w:val="212121"/>
          <w:szCs w:val="20"/>
          <w:lang w:eastAsia="en-GB"/>
        </w:rPr>
        <w:t>a pilot project to develop a common methodology for reference bud</w:t>
      </w:r>
      <w:r>
        <w:rPr>
          <w:rFonts w:eastAsia="Times New Roman" w:cs="Arial"/>
          <w:color w:val="212121"/>
          <w:szCs w:val="20"/>
          <w:lang w:eastAsia="en-GB"/>
        </w:rPr>
        <w:t>gets in the EU</w:t>
      </w:r>
      <w:r w:rsidR="00C04D11">
        <w:rPr>
          <w:rFonts w:eastAsia="Times New Roman" w:cs="Arial"/>
          <w:color w:val="212121"/>
          <w:szCs w:val="20"/>
          <w:lang w:eastAsia="en-GB"/>
        </w:rPr>
        <w:t>.</w:t>
      </w:r>
      <w:r w:rsidR="00DD1FA5">
        <w:rPr>
          <w:rFonts w:eastAsia="Times New Roman" w:cs="Arial"/>
          <w:color w:val="212121"/>
          <w:szCs w:val="20"/>
          <w:lang w:eastAsia="en-GB"/>
        </w:rPr>
        <w:t xml:space="preserve"> </w:t>
      </w:r>
      <w:r w:rsidR="00C04D11">
        <w:rPr>
          <w:rFonts w:eastAsia="Times New Roman" w:cs="Arial"/>
          <w:color w:val="212121"/>
          <w:szCs w:val="20"/>
          <w:lang w:eastAsia="en-GB"/>
        </w:rPr>
        <w:t>The aim was to</w:t>
      </w:r>
      <w:r w:rsidR="00DD1FA5">
        <w:rPr>
          <w:rFonts w:eastAsia="Times New Roman" w:cs="Arial"/>
          <w:color w:val="212121"/>
          <w:szCs w:val="20"/>
          <w:lang w:eastAsia="en-GB"/>
        </w:rPr>
        <w:t xml:space="preserve"> establish a network of experts t</w:t>
      </w:r>
      <w:r w:rsidR="00C04D11">
        <w:rPr>
          <w:rFonts w:eastAsia="Times New Roman" w:cs="Arial"/>
          <w:color w:val="212121"/>
          <w:szCs w:val="20"/>
          <w:lang w:eastAsia="en-GB"/>
        </w:rPr>
        <w:t>o exchange practices, to develop</w:t>
      </w:r>
      <w:r w:rsidR="00DD1FA5">
        <w:rPr>
          <w:rFonts w:eastAsia="Times New Roman" w:cs="Arial"/>
          <w:color w:val="212121"/>
          <w:szCs w:val="20"/>
          <w:lang w:eastAsia="en-GB"/>
        </w:rPr>
        <w:t xml:space="preserve"> a common methodological framework to enable cross-country comparisons</w:t>
      </w:r>
      <w:r w:rsidR="004C1979">
        <w:rPr>
          <w:rFonts w:eastAsia="Times New Roman" w:cs="Arial"/>
          <w:color w:val="212121"/>
          <w:szCs w:val="20"/>
          <w:lang w:eastAsia="en-GB"/>
        </w:rPr>
        <w:t xml:space="preserve"> and policy learning</w:t>
      </w:r>
      <w:r w:rsidR="00DD1FA5">
        <w:rPr>
          <w:rFonts w:eastAsia="Times New Roman" w:cs="Arial"/>
          <w:color w:val="212121"/>
          <w:szCs w:val="20"/>
          <w:lang w:eastAsia="en-GB"/>
        </w:rPr>
        <w:t xml:space="preserve">, and </w:t>
      </w:r>
      <w:r w:rsidR="00C04D11">
        <w:rPr>
          <w:rFonts w:eastAsia="Times New Roman" w:cs="Arial"/>
          <w:color w:val="212121"/>
          <w:szCs w:val="20"/>
          <w:lang w:eastAsia="en-GB"/>
        </w:rPr>
        <w:t xml:space="preserve">to </w:t>
      </w:r>
      <w:r w:rsidR="00DD1FA5">
        <w:rPr>
          <w:rFonts w:eastAsia="Times New Roman" w:cs="Arial"/>
          <w:color w:val="212121"/>
          <w:szCs w:val="20"/>
          <w:lang w:eastAsia="en-GB"/>
        </w:rPr>
        <w:t>c</w:t>
      </w:r>
      <w:r w:rsidR="00C04D11">
        <w:rPr>
          <w:rFonts w:eastAsia="Times New Roman" w:cs="Arial"/>
          <w:color w:val="212121"/>
          <w:szCs w:val="20"/>
          <w:lang w:eastAsia="en-GB"/>
        </w:rPr>
        <w:t>omplete</w:t>
      </w:r>
      <w:r w:rsidR="001149C5">
        <w:rPr>
          <w:rFonts w:eastAsia="Times New Roman" w:cs="Arial"/>
          <w:color w:val="212121"/>
          <w:szCs w:val="20"/>
          <w:lang w:eastAsia="en-GB"/>
        </w:rPr>
        <w:t xml:space="preserve"> reference budgets for </w:t>
      </w:r>
      <w:r w:rsidR="00646E32">
        <w:rPr>
          <w:rFonts w:eastAsia="Times New Roman" w:cs="Arial"/>
          <w:color w:val="212121"/>
          <w:szCs w:val="20"/>
          <w:lang w:eastAsia="en-GB"/>
        </w:rPr>
        <w:t xml:space="preserve">selected </w:t>
      </w:r>
      <w:r w:rsidR="00DD1FA5">
        <w:rPr>
          <w:rFonts w:eastAsia="Times New Roman" w:cs="Arial"/>
          <w:color w:val="212121"/>
          <w:szCs w:val="20"/>
          <w:lang w:eastAsia="en-GB"/>
        </w:rPr>
        <w:t xml:space="preserve">countries. </w:t>
      </w:r>
      <w:r w:rsidR="00C04D11">
        <w:rPr>
          <w:rFonts w:eastAsia="Times New Roman" w:cs="Arial"/>
          <w:color w:val="212121"/>
          <w:szCs w:val="20"/>
          <w:lang w:eastAsia="en-GB"/>
        </w:rPr>
        <w:t xml:space="preserve">Eurodiaconia was involved in the export network and contributed to the project by sharing member perspectives and experiences. This briefing provides an introduction to the topic of reference budgets and summarises the key outcomes of the EU reference budget project. </w:t>
      </w:r>
    </w:p>
    <w:p w14:paraId="5AF69A0D" w14:textId="4180DE08" w:rsidR="00506A69" w:rsidRPr="00506A69" w:rsidRDefault="00506A69" w:rsidP="00957134">
      <w:pPr>
        <w:pStyle w:val="Heading3"/>
        <w:spacing w:line="240" w:lineRule="auto"/>
        <w:rPr>
          <w:lang w:eastAsia="en-GB"/>
        </w:rPr>
      </w:pPr>
      <w:r w:rsidRPr="00506A69">
        <w:rPr>
          <w:lang w:eastAsia="en-GB"/>
        </w:rPr>
        <w:t>What are reference budgets?</w:t>
      </w:r>
    </w:p>
    <w:p w14:paraId="51191FB9" w14:textId="0C0AAD20" w:rsidR="00506A69" w:rsidRPr="00EE3A90" w:rsidRDefault="00506A69" w:rsidP="000E4709">
      <w:pPr>
        <w:shd w:val="clear" w:color="auto" w:fill="FFFFFF"/>
        <w:spacing w:after="0" w:line="240" w:lineRule="auto"/>
        <w:jc w:val="both"/>
        <w:rPr>
          <w:rFonts w:eastAsia="Times New Roman" w:cs="Arial"/>
          <w:color w:val="212121"/>
          <w:szCs w:val="20"/>
          <w:lang w:eastAsia="en-GB"/>
        </w:rPr>
      </w:pPr>
      <w:r>
        <w:rPr>
          <w:rFonts w:eastAsia="Times New Roman" w:cs="Arial"/>
          <w:color w:val="212121"/>
          <w:szCs w:val="20"/>
          <w:lang w:eastAsia="en-GB"/>
        </w:rPr>
        <w:t>“</w:t>
      </w:r>
      <w:r w:rsidRPr="000E43E9">
        <w:rPr>
          <w:rFonts w:eastAsia="Times New Roman" w:cs="Arial"/>
          <w:color w:val="212121"/>
          <w:szCs w:val="20"/>
          <w:lang w:eastAsia="en-GB"/>
        </w:rPr>
        <w:t xml:space="preserve">Reference </w:t>
      </w:r>
      <w:r w:rsidRPr="00EE3A90">
        <w:rPr>
          <w:rFonts w:eastAsia="Times New Roman" w:cs="Arial"/>
          <w:color w:val="212121"/>
          <w:szCs w:val="20"/>
          <w:lang w:eastAsia="en-GB"/>
        </w:rPr>
        <w:t>budgets are </w:t>
      </w:r>
      <w:r w:rsidRPr="00EE3A90">
        <w:rPr>
          <w:rFonts w:eastAsia="Times New Roman" w:cs="Arial"/>
          <w:bCs/>
          <w:color w:val="212121"/>
          <w:szCs w:val="20"/>
          <w:lang w:eastAsia="en-GB"/>
        </w:rPr>
        <w:t>priced baskets of goods and services</w:t>
      </w:r>
      <w:r w:rsidRPr="00EE3A90">
        <w:rPr>
          <w:rFonts w:eastAsia="Times New Roman" w:cs="Arial"/>
          <w:color w:val="212121"/>
          <w:szCs w:val="20"/>
          <w:lang w:eastAsia="en-GB"/>
        </w:rPr>
        <w:t> that are needed for households in given countries, regions or cities to ach</w:t>
      </w:r>
      <w:r w:rsidR="00EB0E56" w:rsidRPr="00EE3A90">
        <w:rPr>
          <w:rFonts w:eastAsia="Times New Roman" w:cs="Arial"/>
          <w:color w:val="212121"/>
          <w:szCs w:val="20"/>
          <w:lang w:eastAsia="en-GB"/>
        </w:rPr>
        <w:t>ieve a given standard of living</w:t>
      </w:r>
      <w:r w:rsidR="00EE3A90" w:rsidRPr="00EE3A90">
        <w:rPr>
          <w:rFonts w:eastAsia="Times New Roman" w:cs="Arial"/>
          <w:color w:val="212121"/>
          <w:szCs w:val="20"/>
          <w:lang w:eastAsia="en-GB"/>
        </w:rPr>
        <w:t>.</w:t>
      </w:r>
      <w:r w:rsidRPr="00EE3A90">
        <w:rPr>
          <w:rFonts w:eastAsia="Times New Roman" w:cs="Arial"/>
          <w:color w:val="212121"/>
          <w:szCs w:val="20"/>
          <w:lang w:eastAsia="en-GB"/>
        </w:rPr>
        <w:t>”</w:t>
      </w:r>
      <w:r w:rsidR="002B0ED4" w:rsidRPr="00EE3A90">
        <w:rPr>
          <w:rStyle w:val="FootnoteReference"/>
          <w:rFonts w:eastAsia="Times New Roman" w:cs="Arial"/>
          <w:color w:val="212121"/>
          <w:szCs w:val="20"/>
          <w:lang w:eastAsia="en-GB"/>
        </w:rPr>
        <w:footnoteReference w:id="3"/>
      </w:r>
      <w:r w:rsidR="00EB0E56" w:rsidRPr="00EE3A90">
        <w:rPr>
          <w:rFonts w:eastAsia="Times New Roman" w:cs="Arial"/>
          <w:color w:val="212121"/>
          <w:szCs w:val="20"/>
          <w:lang w:eastAsia="en-GB"/>
        </w:rPr>
        <w:t xml:space="preserve"> They are </w:t>
      </w:r>
      <w:r w:rsidR="00B05B70" w:rsidRPr="00EE3A90">
        <w:rPr>
          <w:rFonts w:eastAsia="Times New Roman" w:cs="Arial"/>
          <w:color w:val="212121"/>
          <w:szCs w:val="20"/>
          <w:lang w:eastAsia="en-GB"/>
        </w:rPr>
        <w:t xml:space="preserve">often </w:t>
      </w:r>
      <w:r w:rsidR="00EB0E56" w:rsidRPr="00EE3A90">
        <w:rPr>
          <w:rFonts w:eastAsia="Times New Roman" w:cs="Arial"/>
          <w:color w:val="212121"/>
          <w:szCs w:val="20"/>
          <w:lang w:eastAsia="en-GB"/>
        </w:rPr>
        <w:t xml:space="preserve">used as an instrument to build consensus on </w:t>
      </w:r>
      <w:r w:rsidR="00A642E2" w:rsidRPr="00EE3A90">
        <w:rPr>
          <w:rFonts w:eastAsia="Times New Roman" w:cs="Arial"/>
          <w:color w:val="212121"/>
          <w:szCs w:val="20"/>
          <w:lang w:eastAsia="en-GB"/>
        </w:rPr>
        <w:t xml:space="preserve">what an adequate minimum income should be </w:t>
      </w:r>
      <w:r w:rsidR="00B05B70" w:rsidRPr="00EE3A90">
        <w:rPr>
          <w:rFonts w:eastAsia="Times New Roman" w:cs="Arial"/>
          <w:color w:val="212121"/>
          <w:szCs w:val="20"/>
          <w:lang w:eastAsia="en-GB"/>
        </w:rPr>
        <w:t>and what the minimum amount of money is people need to adequately participate in society.</w:t>
      </w:r>
      <w:r w:rsidR="00C032C9" w:rsidRPr="00EE3A90">
        <w:rPr>
          <w:rFonts w:eastAsia="Times New Roman" w:cs="Arial"/>
          <w:color w:val="212121"/>
          <w:szCs w:val="20"/>
          <w:lang w:eastAsia="en-GB"/>
        </w:rPr>
        <w:t xml:space="preserve"> </w:t>
      </w:r>
      <w:r w:rsidR="00727291">
        <w:rPr>
          <w:rFonts w:eastAsia="Times New Roman" w:cs="Arial"/>
          <w:color w:val="212121"/>
          <w:szCs w:val="20"/>
          <w:lang w:eastAsia="en-GB"/>
        </w:rPr>
        <w:t>R</w:t>
      </w:r>
      <w:r w:rsidR="00B02BC6" w:rsidRPr="00EE3A90">
        <w:rPr>
          <w:rFonts w:eastAsia="Times New Roman" w:cs="Arial"/>
          <w:color w:val="212121"/>
          <w:szCs w:val="20"/>
          <w:lang w:eastAsia="en-GB"/>
        </w:rPr>
        <w:t>eference budget</w:t>
      </w:r>
      <w:r w:rsidR="00727291">
        <w:rPr>
          <w:rFonts w:eastAsia="Times New Roman" w:cs="Arial"/>
          <w:color w:val="212121"/>
          <w:szCs w:val="20"/>
          <w:lang w:eastAsia="en-GB"/>
        </w:rPr>
        <w:t>s can</w:t>
      </w:r>
      <w:r w:rsidR="00B02BC6" w:rsidRPr="00EE3A90">
        <w:rPr>
          <w:rFonts w:eastAsia="Times New Roman" w:cs="Arial"/>
          <w:color w:val="212121"/>
          <w:szCs w:val="20"/>
          <w:lang w:eastAsia="en-GB"/>
        </w:rPr>
        <w:t xml:space="preserve">not </w:t>
      </w:r>
      <w:r w:rsidR="00727291">
        <w:rPr>
          <w:rFonts w:eastAsia="Times New Roman" w:cs="Arial"/>
          <w:color w:val="212121"/>
          <w:szCs w:val="20"/>
          <w:lang w:eastAsia="en-GB"/>
        </w:rPr>
        <w:t xml:space="preserve">be </w:t>
      </w:r>
      <w:r w:rsidR="00B02BC6" w:rsidRPr="00EE3A90">
        <w:rPr>
          <w:rFonts w:eastAsia="Times New Roman" w:cs="Arial"/>
          <w:color w:val="212121"/>
          <w:szCs w:val="20"/>
          <w:lang w:eastAsia="en-GB"/>
        </w:rPr>
        <w:t>calculated for every single family constellation and situation</w:t>
      </w:r>
      <w:r w:rsidR="00727291">
        <w:rPr>
          <w:rFonts w:eastAsia="Times New Roman" w:cs="Arial"/>
          <w:color w:val="212121"/>
          <w:szCs w:val="20"/>
          <w:lang w:eastAsia="en-GB"/>
        </w:rPr>
        <w:t>; instead,</w:t>
      </w:r>
      <w:r w:rsidR="00B02BC6" w:rsidRPr="00EE3A90">
        <w:rPr>
          <w:rFonts w:eastAsia="Times New Roman" w:cs="Arial"/>
          <w:color w:val="212121"/>
          <w:szCs w:val="20"/>
          <w:lang w:eastAsia="en-GB"/>
        </w:rPr>
        <w:t xml:space="preserve"> model families and hypothetical household situations are used, </w:t>
      </w:r>
      <w:r w:rsidR="008F6729">
        <w:rPr>
          <w:rFonts w:eastAsia="Times New Roman" w:cs="Arial"/>
          <w:color w:val="212121"/>
          <w:szCs w:val="20"/>
          <w:lang w:eastAsia="en-GB"/>
        </w:rPr>
        <w:t>indicating different</w:t>
      </w:r>
      <w:r w:rsidR="00B02BC6" w:rsidRPr="00EE3A90">
        <w:rPr>
          <w:rFonts w:eastAsia="Times New Roman" w:cs="Arial"/>
          <w:color w:val="212121"/>
          <w:szCs w:val="20"/>
          <w:lang w:eastAsia="en-GB"/>
        </w:rPr>
        <w:t xml:space="preserve"> household composition</w:t>
      </w:r>
      <w:r w:rsidR="008F6729">
        <w:rPr>
          <w:rFonts w:eastAsia="Times New Roman" w:cs="Arial"/>
          <w:color w:val="212121"/>
          <w:szCs w:val="20"/>
          <w:lang w:eastAsia="en-GB"/>
        </w:rPr>
        <w:t>s</w:t>
      </w:r>
      <w:r w:rsidR="00B02BC6" w:rsidRPr="00EE3A90">
        <w:rPr>
          <w:rFonts w:eastAsia="Times New Roman" w:cs="Arial"/>
          <w:color w:val="212121"/>
          <w:szCs w:val="20"/>
          <w:lang w:eastAsia="en-GB"/>
        </w:rPr>
        <w:t xml:space="preserve">, circumstances, competences as well as the accessibility of public services and goods. There are different ways of </w:t>
      </w:r>
      <w:r w:rsidR="004D1D2C" w:rsidRPr="00EE3A90">
        <w:rPr>
          <w:rFonts w:eastAsia="Times New Roman" w:cs="Arial"/>
          <w:color w:val="212121"/>
          <w:szCs w:val="20"/>
          <w:lang w:eastAsia="en-GB"/>
        </w:rPr>
        <w:t>developing</w:t>
      </w:r>
      <w:r w:rsidR="00B02BC6" w:rsidRPr="00EE3A90">
        <w:rPr>
          <w:rFonts w:eastAsia="Times New Roman" w:cs="Arial"/>
          <w:color w:val="212121"/>
          <w:szCs w:val="20"/>
          <w:lang w:eastAsia="en-GB"/>
        </w:rPr>
        <w:t xml:space="preserve"> reference budgets</w:t>
      </w:r>
      <w:r w:rsidR="004D1D2C" w:rsidRPr="00EE3A90">
        <w:rPr>
          <w:rFonts w:eastAsia="Times New Roman" w:cs="Arial"/>
          <w:color w:val="212121"/>
          <w:szCs w:val="20"/>
          <w:lang w:eastAsia="en-GB"/>
        </w:rPr>
        <w:t xml:space="preserve"> </w:t>
      </w:r>
      <w:r w:rsidR="00993BA1">
        <w:rPr>
          <w:rFonts w:eastAsia="Times New Roman" w:cs="Arial"/>
          <w:color w:val="212121"/>
          <w:szCs w:val="20"/>
          <w:lang w:eastAsia="en-GB"/>
        </w:rPr>
        <w:t xml:space="preserve">(for example </w:t>
      </w:r>
      <w:r w:rsidR="000D39AA" w:rsidRPr="00EE3A90">
        <w:rPr>
          <w:rFonts w:eastAsia="Times New Roman" w:cs="Arial"/>
          <w:color w:val="212121"/>
          <w:szCs w:val="20"/>
          <w:lang w:eastAsia="en-GB"/>
        </w:rPr>
        <w:t>on</w:t>
      </w:r>
      <w:r w:rsidR="00993BA1">
        <w:rPr>
          <w:rFonts w:eastAsia="Times New Roman" w:cs="Arial"/>
          <w:color w:val="212121"/>
          <w:szCs w:val="20"/>
          <w:lang w:eastAsia="en-GB"/>
        </w:rPr>
        <w:t xml:space="preserve"> the basis of</w:t>
      </w:r>
      <w:r w:rsidR="004D1D2C" w:rsidRPr="00EE3A90">
        <w:rPr>
          <w:rFonts w:eastAsia="Times New Roman" w:cs="Arial"/>
          <w:color w:val="212121"/>
          <w:szCs w:val="20"/>
          <w:lang w:eastAsia="en-GB"/>
        </w:rPr>
        <w:t xml:space="preserve"> survey da</w:t>
      </w:r>
      <w:r w:rsidR="00993BA1">
        <w:rPr>
          <w:rFonts w:eastAsia="Times New Roman" w:cs="Arial"/>
          <w:color w:val="212121"/>
          <w:szCs w:val="20"/>
          <w:lang w:eastAsia="en-GB"/>
        </w:rPr>
        <w:t>ta, statistical data,</w:t>
      </w:r>
      <w:r w:rsidR="004D1D2C" w:rsidRPr="00EE3A90">
        <w:rPr>
          <w:rFonts w:eastAsia="Times New Roman" w:cs="Arial"/>
          <w:color w:val="212121"/>
          <w:szCs w:val="20"/>
          <w:lang w:eastAsia="en-GB"/>
        </w:rPr>
        <w:t xml:space="preserve"> expert knowledge or focus groups</w:t>
      </w:r>
      <w:r w:rsidR="00993BA1">
        <w:rPr>
          <w:rFonts w:eastAsia="Times New Roman" w:cs="Arial"/>
          <w:color w:val="212121"/>
          <w:szCs w:val="20"/>
          <w:lang w:eastAsia="en-GB"/>
        </w:rPr>
        <w:t>) to determine which</w:t>
      </w:r>
      <w:r w:rsidR="00913F46" w:rsidRPr="00EE3A90">
        <w:rPr>
          <w:rFonts w:eastAsia="Times New Roman" w:cs="Arial"/>
          <w:color w:val="212121"/>
          <w:szCs w:val="20"/>
          <w:lang w:eastAsia="en-GB"/>
        </w:rPr>
        <w:t xml:space="preserve"> products are needed and how much they cost</w:t>
      </w:r>
      <w:r w:rsidR="004D1D2C" w:rsidRPr="00EE3A90">
        <w:rPr>
          <w:rFonts w:eastAsia="Times New Roman" w:cs="Arial"/>
          <w:color w:val="212121"/>
          <w:szCs w:val="20"/>
          <w:lang w:eastAsia="en-GB"/>
        </w:rPr>
        <w:t xml:space="preserve">. In most cases, a combination of several approaches is chosen in order to increase the validity of </w:t>
      </w:r>
      <w:r w:rsidR="002B4A1F" w:rsidRPr="00EE3A90">
        <w:rPr>
          <w:rFonts w:eastAsia="Times New Roman" w:cs="Arial"/>
          <w:color w:val="212121"/>
          <w:szCs w:val="20"/>
          <w:lang w:eastAsia="en-GB"/>
        </w:rPr>
        <w:t>the determined reference budget</w:t>
      </w:r>
      <w:r w:rsidR="004D1D2C" w:rsidRPr="00EE3A90">
        <w:rPr>
          <w:rFonts w:eastAsia="Times New Roman" w:cs="Arial"/>
          <w:color w:val="212121"/>
          <w:szCs w:val="20"/>
          <w:lang w:eastAsia="en-GB"/>
        </w:rPr>
        <w:t xml:space="preserve">. </w:t>
      </w:r>
    </w:p>
    <w:p w14:paraId="04DEB402" w14:textId="77777777" w:rsidR="004D1D2C" w:rsidRDefault="004D1D2C" w:rsidP="000E4709">
      <w:pPr>
        <w:shd w:val="clear" w:color="auto" w:fill="FFFFFF"/>
        <w:spacing w:after="0" w:line="240" w:lineRule="auto"/>
        <w:jc w:val="both"/>
        <w:rPr>
          <w:rFonts w:eastAsia="Times New Roman" w:cs="Arial"/>
          <w:color w:val="212121"/>
          <w:szCs w:val="20"/>
          <w:lang w:eastAsia="en-GB"/>
        </w:rPr>
      </w:pPr>
    </w:p>
    <w:p w14:paraId="1A0530F1" w14:textId="2797D7F3" w:rsidR="00012EF3" w:rsidRPr="00D34034" w:rsidRDefault="00012EF3" w:rsidP="00957134">
      <w:pPr>
        <w:pStyle w:val="Heading3"/>
        <w:spacing w:line="240" w:lineRule="auto"/>
        <w:rPr>
          <w:lang w:eastAsia="en-GB"/>
        </w:rPr>
      </w:pPr>
      <w:r w:rsidRPr="00D34034">
        <w:rPr>
          <w:lang w:eastAsia="en-GB"/>
        </w:rPr>
        <w:lastRenderedPageBreak/>
        <w:t>Advantages of reference budgets</w:t>
      </w:r>
    </w:p>
    <w:p w14:paraId="6E2FA8F7" w14:textId="77777777" w:rsidR="00CC73FB" w:rsidRDefault="0006073D" w:rsidP="00CC73FB">
      <w:pPr>
        <w:pStyle w:val="ListParagraph"/>
        <w:numPr>
          <w:ilvl w:val="0"/>
          <w:numId w:val="14"/>
        </w:numPr>
        <w:shd w:val="clear" w:color="auto" w:fill="FFFFFF"/>
        <w:spacing w:before="100" w:beforeAutospacing="1" w:after="100" w:afterAutospacing="1" w:line="240" w:lineRule="auto"/>
        <w:jc w:val="both"/>
        <w:rPr>
          <w:rFonts w:eastAsia="Times New Roman" w:cs="Arial"/>
          <w:color w:val="000000"/>
          <w:szCs w:val="20"/>
          <w:lang w:eastAsia="en-GB"/>
        </w:rPr>
      </w:pPr>
      <w:r w:rsidRPr="00CC73FB">
        <w:rPr>
          <w:rFonts w:eastAsia="Times New Roman" w:cs="Arial"/>
          <w:color w:val="000000"/>
          <w:szCs w:val="20"/>
          <w:lang w:eastAsia="en-GB"/>
        </w:rPr>
        <w:t>The main advantage of r</w:t>
      </w:r>
      <w:r w:rsidR="00784992" w:rsidRPr="00CC73FB">
        <w:rPr>
          <w:rFonts w:eastAsia="Times New Roman" w:cs="Arial"/>
          <w:color w:val="000000"/>
          <w:szCs w:val="20"/>
          <w:lang w:eastAsia="en-GB"/>
        </w:rPr>
        <w:t xml:space="preserve">eference budgets </w:t>
      </w:r>
      <w:r w:rsidRPr="00CC73FB">
        <w:rPr>
          <w:rFonts w:eastAsia="Times New Roman" w:cs="Arial"/>
          <w:color w:val="000000"/>
          <w:szCs w:val="20"/>
          <w:lang w:eastAsia="en-GB"/>
        </w:rPr>
        <w:t xml:space="preserve">lies in their potential to </w:t>
      </w:r>
      <w:r w:rsidR="000C0A5B" w:rsidRPr="00CC73FB">
        <w:rPr>
          <w:rFonts w:eastAsia="Times New Roman" w:cs="Arial"/>
          <w:color w:val="000000"/>
          <w:szCs w:val="20"/>
          <w:lang w:eastAsia="en-GB"/>
        </w:rPr>
        <w:t xml:space="preserve">generate </w:t>
      </w:r>
      <w:r w:rsidR="00784992" w:rsidRPr="00CC73FB">
        <w:rPr>
          <w:rFonts w:eastAsia="Times New Roman" w:cs="Arial"/>
          <w:color w:val="000000"/>
          <w:szCs w:val="20"/>
          <w:lang w:eastAsia="en-GB"/>
        </w:rPr>
        <w:t xml:space="preserve">consensus on the </w:t>
      </w:r>
      <w:r w:rsidRPr="00CC73FB">
        <w:rPr>
          <w:rFonts w:eastAsia="Times New Roman" w:cs="Arial"/>
          <w:color w:val="000000"/>
          <w:szCs w:val="20"/>
          <w:lang w:eastAsia="en-GB"/>
        </w:rPr>
        <w:t xml:space="preserve">required </w:t>
      </w:r>
      <w:r w:rsidR="00784992" w:rsidRPr="00CC73FB">
        <w:rPr>
          <w:rFonts w:eastAsia="Times New Roman" w:cs="Arial"/>
          <w:color w:val="000000"/>
          <w:szCs w:val="20"/>
          <w:lang w:eastAsia="en-GB"/>
        </w:rPr>
        <w:t>level of minimum income schemes. Minimum income is a</w:t>
      </w:r>
      <w:r w:rsidR="00AD30FB" w:rsidRPr="00CC73FB">
        <w:rPr>
          <w:rFonts w:eastAsia="Times New Roman" w:cs="Arial"/>
          <w:color w:val="000000"/>
          <w:szCs w:val="20"/>
          <w:lang w:eastAsia="en-GB"/>
        </w:rPr>
        <w:t xml:space="preserve"> </w:t>
      </w:r>
      <w:r w:rsidR="00DB7EC2" w:rsidRPr="00CC73FB">
        <w:rPr>
          <w:rFonts w:eastAsia="Times New Roman" w:cs="Arial"/>
          <w:color w:val="000000"/>
          <w:szCs w:val="20"/>
          <w:lang w:eastAsia="en-GB"/>
        </w:rPr>
        <w:t>frequently</w:t>
      </w:r>
      <w:r w:rsidR="00784992" w:rsidRPr="00CC73FB">
        <w:rPr>
          <w:rFonts w:eastAsia="Times New Roman" w:cs="Arial"/>
          <w:color w:val="000000"/>
          <w:szCs w:val="20"/>
          <w:lang w:eastAsia="en-GB"/>
        </w:rPr>
        <w:t xml:space="preserve"> discussed topic, with different groups </w:t>
      </w:r>
      <w:r w:rsidR="00031A8A" w:rsidRPr="00CC73FB">
        <w:rPr>
          <w:rFonts w:eastAsia="Times New Roman" w:cs="Arial"/>
          <w:color w:val="000000"/>
          <w:szCs w:val="20"/>
          <w:lang w:eastAsia="en-GB"/>
        </w:rPr>
        <w:t>having</w:t>
      </w:r>
      <w:r w:rsidR="00784992" w:rsidRPr="00CC73FB">
        <w:rPr>
          <w:rFonts w:eastAsia="Times New Roman" w:cs="Arial"/>
          <w:color w:val="000000"/>
          <w:szCs w:val="20"/>
          <w:lang w:eastAsia="en-GB"/>
        </w:rPr>
        <w:t xml:space="preserve"> different expectations and demands</w:t>
      </w:r>
      <w:r w:rsidR="00031A8A" w:rsidRPr="00CC73FB">
        <w:rPr>
          <w:rFonts w:eastAsia="Times New Roman" w:cs="Arial"/>
          <w:color w:val="000000"/>
          <w:szCs w:val="20"/>
          <w:lang w:eastAsia="en-GB"/>
        </w:rPr>
        <w:t xml:space="preserve">. </w:t>
      </w:r>
      <w:r w:rsidR="000C0A5B" w:rsidRPr="00CC73FB">
        <w:rPr>
          <w:rFonts w:eastAsia="Times New Roman" w:cs="Arial"/>
          <w:color w:val="000000"/>
          <w:szCs w:val="20"/>
          <w:lang w:eastAsia="en-GB"/>
        </w:rPr>
        <w:t>R</w:t>
      </w:r>
      <w:r w:rsidR="00784992" w:rsidRPr="00CC73FB">
        <w:rPr>
          <w:rFonts w:eastAsia="Times New Roman" w:cs="Arial"/>
          <w:color w:val="000000"/>
          <w:szCs w:val="20"/>
          <w:lang w:eastAsia="en-GB"/>
        </w:rPr>
        <w:t>eferenc</w:t>
      </w:r>
      <w:r w:rsidR="00031A8A" w:rsidRPr="00CC73FB">
        <w:rPr>
          <w:rFonts w:eastAsia="Times New Roman" w:cs="Arial"/>
          <w:color w:val="000000"/>
          <w:szCs w:val="20"/>
          <w:lang w:eastAsia="en-GB"/>
        </w:rPr>
        <w:t>e budgets</w:t>
      </w:r>
      <w:r w:rsidR="000C0A5B" w:rsidRPr="00CC73FB">
        <w:rPr>
          <w:rFonts w:eastAsia="Times New Roman" w:cs="Arial"/>
          <w:color w:val="000000"/>
          <w:szCs w:val="20"/>
          <w:lang w:eastAsia="en-GB"/>
        </w:rPr>
        <w:t xml:space="preserve"> are created through</w:t>
      </w:r>
      <w:r w:rsidR="00031A8A" w:rsidRPr="00CC73FB">
        <w:rPr>
          <w:rFonts w:eastAsia="Times New Roman" w:cs="Arial"/>
          <w:color w:val="000000"/>
          <w:szCs w:val="20"/>
          <w:lang w:eastAsia="en-GB"/>
        </w:rPr>
        <w:t xml:space="preserve"> </w:t>
      </w:r>
      <w:r w:rsidR="00784992" w:rsidRPr="00CC73FB">
        <w:rPr>
          <w:rFonts w:eastAsia="Times New Roman" w:cs="Arial"/>
          <w:color w:val="000000"/>
          <w:szCs w:val="20"/>
          <w:lang w:eastAsia="en-GB"/>
        </w:rPr>
        <w:t>consultation</w:t>
      </w:r>
      <w:r w:rsidR="002D09DE" w:rsidRPr="00CC73FB">
        <w:rPr>
          <w:rFonts w:eastAsia="Times New Roman" w:cs="Arial"/>
          <w:color w:val="000000"/>
          <w:szCs w:val="20"/>
          <w:lang w:eastAsia="en-GB"/>
        </w:rPr>
        <w:t>s</w:t>
      </w:r>
      <w:r w:rsidR="00784992" w:rsidRPr="00CC73FB">
        <w:rPr>
          <w:rFonts w:eastAsia="Times New Roman" w:cs="Arial"/>
          <w:color w:val="000000"/>
          <w:szCs w:val="20"/>
          <w:lang w:eastAsia="en-GB"/>
        </w:rPr>
        <w:t xml:space="preserve"> of different information sources and</w:t>
      </w:r>
      <w:r w:rsidR="000C0A5B" w:rsidRPr="00CC73FB">
        <w:rPr>
          <w:rFonts w:eastAsia="Times New Roman" w:cs="Arial"/>
          <w:color w:val="000000"/>
          <w:szCs w:val="20"/>
          <w:lang w:eastAsia="en-GB"/>
        </w:rPr>
        <w:t xml:space="preserve"> </w:t>
      </w:r>
      <w:r w:rsidR="00784992" w:rsidRPr="00CC73FB">
        <w:rPr>
          <w:rFonts w:eastAsia="Times New Roman" w:cs="Arial"/>
          <w:color w:val="000000"/>
          <w:szCs w:val="20"/>
          <w:lang w:eastAsia="en-GB"/>
        </w:rPr>
        <w:t>input from affected groups, which can</w:t>
      </w:r>
      <w:r w:rsidR="000C0A5B" w:rsidRPr="00CC73FB">
        <w:rPr>
          <w:rFonts w:eastAsia="Times New Roman" w:cs="Arial"/>
          <w:color w:val="000000"/>
          <w:szCs w:val="20"/>
          <w:lang w:eastAsia="en-GB"/>
        </w:rPr>
        <w:t xml:space="preserve"> help to overcome </w:t>
      </w:r>
      <w:r w:rsidR="00784992" w:rsidRPr="00CC73FB">
        <w:rPr>
          <w:rFonts w:eastAsia="Times New Roman" w:cs="Arial"/>
          <w:color w:val="000000"/>
          <w:szCs w:val="20"/>
          <w:lang w:eastAsia="en-GB"/>
        </w:rPr>
        <w:t>disagreement</w:t>
      </w:r>
      <w:r w:rsidR="000C0A5B" w:rsidRPr="00CC73FB">
        <w:rPr>
          <w:rFonts w:eastAsia="Times New Roman" w:cs="Arial"/>
          <w:color w:val="000000"/>
          <w:szCs w:val="20"/>
          <w:lang w:eastAsia="en-GB"/>
        </w:rPr>
        <w:t>s</w:t>
      </w:r>
      <w:r w:rsidR="00784992" w:rsidRPr="00CC73FB">
        <w:rPr>
          <w:rFonts w:eastAsia="Times New Roman" w:cs="Arial"/>
          <w:color w:val="000000"/>
          <w:szCs w:val="20"/>
          <w:lang w:eastAsia="en-GB"/>
        </w:rPr>
        <w:t xml:space="preserve"> and </w:t>
      </w:r>
      <w:r w:rsidR="000C0A5B" w:rsidRPr="00CC73FB">
        <w:rPr>
          <w:rFonts w:eastAsia="Times New Roman" w:cs="Arial"/>
          <w:color w:val="000000"/>
          <w:szCs w:val="20"/>
          <w:lang w:eastAsia="en-GB"/>
        </w:rPr>
        <w:t>make the height of benefits</w:t>
      </w:r>
      <w:r w:rsidR="00784992" w:rsidRPr="00CC73FB">
        <w:rPr>
          <w:rFonts w:eastAsia="Times New Roman" w:cs="Arial"/>
          <w:color w:val="000000"/>
          <w:szCs w:val="20"/>
          <w:lang w:eastAsia="en-GB"/>
        </w:rPr>
        <w:t xml:space="preserve"> acceptable to </w:t>
      </w:r>
      <w:r w:rsidR="00B33F7B" w:rsidRPr="00CC73FB">
        <w:rPr>
          <w:rFonts w:eastAsia="Times New Roman" w:cs="Arial"/>
          <w:color w:val="000000"/>
          <w:szCs w:val="20"/>
          <w:lang w:eastAsia="en-GB"/>
        </w:rPr>
        <w:t>different</w:t>
      </w:r>
      <w:r w:rsidR="000C0A5B" w:rsidRPr="00CC73FB">
        <w:rPr>
          <w:rFonts w:eastAsia="Times New Roman" w:cs="Arial"/>
          <w:color w:val="000000"/>
          <w:szCs w:val="20"/>
          <w:lang w:eastAsia="en-GB"/>
        </w:rPr>
        <w:t xml:space="preserve"> stakeholders</w:t>
      </w:r>
      <w:r w:rsidR="00784992" w:rsidRPr="00CC73FB">
        <w:rPr>
          <w:rFonts w:eastAsia="Times New Roman" w:cs="Arial"/>
          <w:color w:val="000000"/>
          <w:szCs w:val="20"/>
          <w:lang w:eastAsia="en-GB"/>
        </w:rPr>
        <w:t>.</w:t>
      </w:r>
    </w:p>
    <w:p w14:paraId="73E0FB9A" w14:textId="77777777" w:rsidR="00CC73FB" w:rsidRDefault="00CC73FB" w:rsidP="00CC73FB">
      <w:pPr>
        <w:pStyle w:val="ListParagraph"/>
        <w:shd w:val="clear" w:color="auto" w:fill="FFFFFF"/>
        <w:spacing w:before="100" w:beforeAutospacing="1" w:after="100" w:afterAutospacing="1" w:line="240" w:lineRule="auto"/>
        <w:jc w:val="both"/>
        <w:rPr>
          <w:rFonts w:eastAsia="Times New Roman" w:cs="Arial"/>
          <w:color w:val="000000"/>
          <w:szCs w:val="20"/>
          <w:lang w:eastAsia="en-GB"/>
        </w:rPr>
      </w:pPr>
    </w:p>
    <w:p w14:paraId="322CF523" w14:textId="3BB18FB0" w:rsidR="0075156A" w:rsidRPr="00CC73FB" w:rsidRDefault="002425E1" w:rsidP="00CC73FB">
      <w:pPr>
        <w:pStyle w:val="ListParagraph"/>
        <w:numPr>
          <w:ilvl w:val="0"/>
          <w:numId w:val="14"/>
        </w:numPr>
        <w:shd w:val="clear" w:color="auto" w:fill="FFFFFF"/>
        <w:spacing w:before="100" w:beforeAutospacing="1" w:after="100" w:afterAutospacing="1" w:line="240" w:lineRule="auto"/>
        <w:jc w:val="both"/>
        <w:rPr>
          <w:rFonts w:eastAsia="Times New Roman" w:cs="Arial"/>
          <w:color w:val="000000"/>
          <w:szCs w:val="20"/>
          <w:lang w:eastAsia="en-GB"/>
        </w:rPr>
      </w:pPr>
      <w:r w:rsidRPr="00CC73FB">
        <w:rPr>
          <w:rFonts w:eastAsia="Times New Roman" w:cs="Arial"/>
          <w:color w:val="000000"/>
          <w:szCs w:val="20"/>
          <w:lang w:eastAsia="en-GB"/>
        </w:rPr>
        <w:t>Furthermore, reference budgets</w:t>
      </w:r>
      <w:r w:rsidR="000C0A5B" w:rsidRPr="00CC73FB">
        <w:rPr>
          <w:rFonts w:eastAsia="Times New Roman" w:cs="Arial"/>
          <w:color w:val="000000"/>
          <w:szCs w:val="20"/>
          <w:lang w:eastAsia="en-GB"/>
        </w:rPr>
        <w:t xml:space="preserve"> </w:t>
      </w:r>
      <w:r w:rsidR="00CC73FB">
        <w:rPr>
          <w:rFonts w:eastAsia="Times New Roman" w:cs="Arial"/>
          <w:color w:val="000000"/>
          <w:szCs w:val="20"/>
          <w:lang w:eastAsia="en-GB"/>
        </w:rPr>
        <w:t>(</w:t>
      </w:r>
      <w:r w:rsidRPr="00CC73FB">
        <w:rPr>
          <w:rFonts w:eastAsia="Times New Roman" w:cs="Arial"/>
          <w:color w:val="000000"/>
          <w:szCs w:val="20"/>
          <w:lang w:eastAsia="en-GB"/>
        </w:rPr>
        <w:t xml:space="preserve">when </w:t>
      </w:r>
      <w:r w:rsidR="00F22319" w:rsidRPr="00CC73FB">
        <w:rPr>
          <w:rFonts w:eastAsia="Times New Roman" w:cs="Arial"/>
          <w:color w:val="000000"/>
          <w:szCs w:val="20"/>
          <w:lang w:eastAsia="en-GB"/>
        </w:rPr>
        <w:t>explained</w:t>
      </w:r>
      <w:r w:rsidR="000C0A5B" w:rsidRPr="00CC73FB">
        <w:rPr>
          <w:rFonts w:eastAsia="Times New Roman" w:cs="Arial"/>
          <w:color w:val="000000"/>
          <w:szCs w:val="20"/>
          <w:lang w:eastAsia="en-GB"/>
        </w:rPr>
        <w:t xml:space="preserve"> </w:t>
      </w:r>
      <w:r w:rsidR="00F22319" w:rsidRPr="00CC73FB">
        <w:rPr>
          <w:rFonts w:eastAsia="Times New Roman" w:cs="Arial"/>
          <w:color w:val="000000"/>
          <w:szCs w:val="20"/>
          <w:lang w:eastAsia="en-GB"/>
        </w:rPr>
        <w:t>to the public properly</w:t>
      </w:r>
      <w:r w:rsidR="00CC73FB">
        <w:rPr>
          <w:rFonts w:eastAsia="Times New Roman" w:cs="Arial"/>
          <w:color w:val="000000"/>
          <w:szCs w:val="20"/>
          <w:lang w:eastAsia="en-GB"/>
        </w:rPr>
        <w:t>)</w:t>
      </w:r>
      <w:r w:rsidRPr="00CC73FB">
        <w:rPr>
          <w:rFonts w:eastAsia="Times New Roman" w:cs="Arial"/>
          <w:color w:val="000000"/>
          <w:szCs w:val="20"/>
          <w:lang w:eastAsia="en-GB"/>
        </w:rPr>
        <w:t xml:space="preserve"> can be used </w:t>
      </w:r>
      <w:r w:rsidR="00F22319" w:rsidRPr="00CC73FB">
        <w:rPr>
          <w:rFonts w:eastAsia="Times New Roman" w:cs="Arial"/>
          <w:color w:val="000000"/>
          <w:szCs w:val="20"/>
          <w:lang w:eastAsia="en-GB"/>
        </w:rPr>
        <w:t>to inform citizens</w:t>
      </w:r>
      <w:r w:rsidRPr="00CC73FB">
        <w:rPr>
          <w:rFonts w:eastAsia="Times New Roman" w:cs="Arial"/>
          <w:color w:val="000000"/>
          <w:szCs w:val="20"/>
          <w:lang w:eastAsia="en-GB"/>
        </w:rPr>
        <w:t xml:space="preserve"> about their rights and possibilities with regard to public services. </w:t>
      </w:r>
      <w:r w:rsidR="00F22319" w:rsidRPr="00CC73FB">
        <w:rPr>
          <w:rFonts w:eastAsia="Times New Roman" w:cs="Arial"/>
          <w:color w:val="000000"/>
          <w:szCs w:val="20"/>
          <w:lang w:eastAsia="en-GB"/>
        </w:rPr>
        <w:t>As such,</w:t>
      </w:r>
      <w:r w:rsidR="00FD33CD" w:rsidRPr="00CC73FB">
        <w:rPr>
          <w:rFonts w:eastAsia="Times New Roman" w:cs="Arial"/>
          <w:color w:val="000000"/>
          <w:szCs w:val="20"/>
          <w:lang w:eastAsia="en-GB"/>
        </w:rPr>
        <w:t xml:space="preserve"> they </w:t>
      </w:r>
      <w:r w:rsidR="00F22319" w:rsidRPr="00CC73FB">
        <w:rPr>
          <w:rFonts w:eastAsia="Times New Roman" w:cs="Arial"/>
          <w:color w:val="000000"/>
          <w:szCs w:val="20"/>
          <w:lang w:eastAsia="en-GB"/>
        </w:rPr>
        <w:t xml:space="preserve">both cover </w:t>
      </w:r>
      <w:r w:rsidR="00FD33CD" w:rsidRPr="00CC73FB">
        <w:rPr>
          <w:rFonts w:eastAsia="Times New Roman" w:cs="Arial"/>
          <w:color w:val="000000"/>
          <w:szCs w:val="20"/>
          <w:lang w:eastAsia="en-GB"/>
        </w:rPr>
        <w:t>human needs</w:t>
      </w:r>
      <w:r w:rsidR="00F22319" w:rsidRPr="00CC73FB">
        <w:rPr>
          <w:rFonts w:eastAsia="Times New Roman" w:cs="Arial"/>
          <w:color w:val="000000"/>
          <w:szCs w:val="20"/>
          <w:lang w:eastAsia="en-GB"/>
        </w:rPr>
        <w:t xml:space="preserve"> and protect basic</w:t>
      </w:r>
      <w:r w:rsidR="00FD33CD" w:rsidRPr="00CC73FB">
        <w:rPr>
          <w:rFonts w:eastAsia="Times New Roman" w:cs="Arial"/>
          <w:color w:val="000000"/>
          <w:szCs w:val="20"/>
          <w:lang w:eastAsia="en-GB"/>
        </w:rPr>
        <w:t xml:space="preserve"> human rights. </w:t>
      </w:r>
      <w:r w:rsidR="00740CDF" w:rsidRPr="00CC73FB">
        <w:rPr>
          <w:rFonts w:eastAsia="Times New Roman" w:cs="Arial"/>
          <w:color w:val="000000"/>
          <w:szCs w:val="20"/>
          <w:lang w:eastAsia="en-GB"/>
        </w:rPr>
        <w:t>R</w:t>
      </w:r>
      <w:r w:rsidR="00FD33CD" w:rsidRPr="00CC73FB">
        <w:rPr>
          <w:rFonts w:eastAsia="Times New Roman" w:cs="Arial"/>
          <w:color w:val="000000"/>
          <w:szCs w:val="20"/>
          <w:lang w:eastAsia="en-GB"/>
        </w:rPr>
        <w:t>efere</w:t>
      </w:r>
      <w:r w:rsidR="00F17029" w:rsidRPr="00CC73FB">
        <w:rPr>
          <w:rFonts w:eastAsia="Times New Roman" w:cs="Arial"/>
          <w:color w:val="000000"/>
          <w:szCs w:val="20"/>
          <w:lang w:eastAsia="en-GB"/>
        </w:rPr>
        <w:t xml:space="preserve">nce budgets can </w:t>
      </w:r>
      <w:r w:rsidR="00740CDF" w:rsidRPr="00CC73FB">
        <w:rPr>
          <w:rFonts w:eastAsia="Times New Roman" w:cs="Arial"/>
          <w:color w:val="000000"/>
          <w:szCs w:val="20"/>
          <w:lang w:eastAsia="en-GB"/>
        </w:rPr>
        <w:t xml:space="preserve">also provide </w:t>
      </w:r>
      <w:r w:rsidR="00F17029" w:rsidRPr="00CC73FB">
        <w:rPr>
          <w:rFonts w:eastAsia="Times New Roman" w:cs="Arial"/>
          <w:color w:val="000000"/>
          <w:szCs w:val="20"/>
          <w:lang w:eastAsia="en-GB"/>
        </w:rPr>
        <w:t xml:space="preserve">citizens </w:t>
      </w:r>
      <w:r w:rsidR="00740CDF" w:rsidRPr="00CC73FB">
        <w:rPr>
          <w:rFonts w:eastAsia="Times New Roman" w:cs="Arial"/>
          <w:color w:val="000000"/>
          <w:szCs w:val="20"/>
          <w:lang w:eastAsia="en-GB"/>
        </w:rPr>
        <w:t>with</w:t>
      </w:r>
      <w:r w:rsidR="00F17029" w:rsidRPr="00CC73FB">
        <w:rPr>
          <w:rFonts w:eastAsia="Times New Roman" w:cs="Arial"/>
          <w:color w:val="000000"/>
          <w:szCs w:val="20"/>
          <w:lang w:eastAsia="en-GB"/>
        </w:rPr>
        <w:t xml:space="preserve"> </w:t>
      </w:r>
      <w:r w:rsidR="00740CDF" w:rsidRPr="00CC73FB">
        <w:rPr>
          <w:rFonts w:eastAsia="Times New Roman" w:cs="Arial"/>
          <w:color w:val="000000"/>
          <w:szCs w:val="20"/>
          <w:lang w:eastAsia="en-GB"/>
        </w:rPr>
        <w:t>k</w:t>
      </w:r>
      <w:r w:rsidR="00F17029" w:rsidRPr="00CC73FB">
        <w:rPr>
          <w:rFonts w:eastAsia="Times New Roman" w:cs="Arial"/>
          <w:color w:val="000000"/>
          <w:szCs w:val="20"/>
          <w:lang w:eastAsia="en-GB"/>
        </w:rPr>
        <w:t>nowledge on how to live healthily</w:t>
      </w:r>
      <w:r w:rsidR="0075156A" w:rsidRPr="00CC73FB">
        <w:rPr>
          <w:rFonts w:eastAsia="Times New Roman" w:cs="Arial"/>
          <w:color w:val="000000"/>
          <w:szCs w:val="20"/>
          <w:lang w:eastAsia="en-GB"/>
        </w:rPr>
        <w:t xml:space="preserve"> and economically, </w:t>
      </w:r>
      <w:r w:rsidR="006913CF" w:rsidRPr="00CC73FB">
        <w:rPr>
          <w:rFonts w:eastAsia="Times New Roman" w:cs="Arial"/>
          <w:color w:val="000000"/>
          <w:szCs w:val="20"/>
          <w:lang w:eastAsia="en-GB"/>
        </w:rPr>
        <w:t>and</w:t>
      </w:r>
      <w:r w:rsidR="0075156A" w:rsidRPr="00CC73FB">
        <w:rPr>
          <w:rFonts w:eastAsia="Times New Roman" w:cs="Arial"/>
          <w:color w:val="000000"/>
          <w:szCs w:val="20"/>
          <w:lang w:eastAsia="en-GB"/>
        </w:rPr>
        <w:t xml:space="preserve"> </w:t>
      </w:r>
      <w:r w:rsidR="00CC73FB">
        <w:rPr>
          <w:rFonts w:eastAsia="Times New Roman" w:cs="Arial"/>
          <w:color w:val="000000"/>
          <w:szCs w:val="20"/>
          <w:lang w:eastAsia="en-GB"/>
        </w:rPr>
        <w:t xml:space="preserve">be used </w:t>
      </w:r>
      <w:r w:rsidR="0075156A" w:rsidRPr="00CC73FB">
        <w:rPr>
          <w:rFonts w:eastAsia="Times New Roman" w:cs="Arial"/>
          <w:color w:val="000000"/>
          <w:szCs w:val="20"/>
          <w:lang w:eastAsia="en-GB"/>
        </w:rPr>
        <w:t xml:space="preserve">for debt advice and budget rescheduling purposes. </w:t>
      </w:r>
    </w:p>
    <w:p w14:paraId="0E317FDC" w14:textId="5E63430E" w:rsidR="00F22319" w:rsidRDefault="00474EAD" w:rsidP="00474EAD">
      <w:pPr>
        <w:pStyle w:val="Heading3"/>
        <w:rPr>
          <w:lang w:eastAsia="en-GB"/>
        </w:rPr>
      </w:pPr>
      <w:r>
        <w:rPr>
          <w:lang w:eastAsia="en-GB"/>
        </w:rPr>
        <w:t>Disadvantages of reference budgets</w:t>
      </w:r>
      <w:r w:rsidR="00110992" w:rsidRPr="00F22319">
        <w:rPr>
          <w:lang w:eastAsia="en-GB"/>
        </w:rPr>
        <w:t xml:space="preserve"> </w:t>
      </w:r>
    </w:p>
    <w:p w14:paraId="5FC1D8F5" w14:textId="77777777" w:rsidR="006270D3" w:rsidRDefault="006270D3" w:rsidP="006270D3">
      <w:pPr>
        <w:pStyle w:val="ListParagraph"/>
        <w:numPr>
          <w:ilvl w:val="0"/>
          <w:numId w:val="13"/>
        </w:numPr>
        <w:shd w:val="clear" w:color="auto" w:fill="FFFFFF"/>
        <w:spacing w:before="100" w:beforeAutospacing="1" w:after="100" w:afterAutospacing="1" w:line="240" w:lineRule="auto"/>
        <w:jc w:val="both"/>
        <w:rPr>
          <w:rFonts w:eastAsia="Times New Roman" w:cs="Arial"/>
          <w:color w:val="000000"/>
          <w:szCs w:val="20"/>
          <w:lang w:eastAsia="en-GB"/>
        </w:rPr>
      </w:pPr>
      <w:r>
        <w:rPr>
          <w:rFonts w:eastAsia="Times New Roman" w:cs="Arial"/>
          <w:color w:val="000000"/>
          <w:szCs w:val="20"/>
          <w:lang w:eastAsia="en-GB"/>
        </w:rPr>
        <w:t>T</w:t>
      </w:r>
      <w:r w:rsidR="00110992" w:rsidRPr="00F22319">
        <w:rPr>
          <w:rFonts w:eastAsia="Times New Roman" w:cs="Arial"/>
          <w:color w:val="000000"/>
          <w:szCs w:val="20"/>
          <w:lang w:eastAsia="en-GB"/>
        </w:rPr>
        <w:t xml:space="preserve">here is no common methodology or pathway to create reference budgets which makes it hard to compare them internationally. The lack of comparability also diminishes the chance to </w:t>
      </w:r>
      <w:r w:rsidR="000A7C56" w:rsidRPr="00F22319">
        <w:rPr>
          <w:rFonts w:eastAsia="Times New Roman" w:cs="Arial"/>
          <w:color w:val="000000"/>
          <w:szCs w:val="20"/>
          <w:lang w:eastAsia="en-GB"/>
        </w:rPr>
        <w:t>understand</w:t>
      </w:r>
      <w:r w:rsidR="00E242AB" w:rsidRPr="00F22319">
        <w:rPr>
          <w:rFonts w:eastAsia="Times New Roman" w:cs="Arial"/>
          <w:color w:val="000000"/>
          <w:szCs w:val="20"/>
          <w:lang w:eastAsia="en-GB"/>
        </w:rPr>
        <w:t xml:space="preserve"> and reconstruct</w:t>
      </w:r>
      <w:r w:rsidR="00110992" w:rsidRPr="00F22319">
        <w:rPr>
          <w:rFonts w:eastAsia="Times New Roman" w:cs="Arial"/>
          <w:color w:val="000000"/>
          <w:szCs w:val="20"/>
          <w:lang w:eastAsia="en-GB"/>
        </w:rPr>
        <w:t xml:space="preserve"> reference budgets in other countries, thereby decreasing the chance for policy learning.</w:t>
      </w:r>
    </w:p>
    <w:p w14:paraId="03B3AD5D" w14:textId="77777777" w:rsidR="00BD04FF" w:rsidRDefault="00BD04FF" w:rsidP="00BD04FF">
      <w:pPr>
        <w:pStyle w:val="ListParagraph"/>
        <w:shd w:val="clear" w:color="auto" w:fill="FFFFFF"/>
        <w:spacing w:before="100" w:beforeAutospacing="1" w:after="100" w:afterAutospacing="1" w:line="240" w:lineRule="auto"/>
        <w:jc w:val="both"/>
        <w:rPr>
          <w:rFonts w:eastAsia="Times New Roman" w:cs="Arial"/>
          <w:color w:val="000000"/>
          <w:szCs w:val="20"/>
          <w:lang w:eastAsia="en-GB"/>
        </w:rPr>
      </w:pPr>
    </w:p>
    <w:p w14:paraId="1C1B2B07" w14:textId="35448B43" w:rsidR="00BD04FF" w:rsidRPr="00BD04FF" w:rsidRDefault="006270D3" w:rsidP="00BD04FF">
      <w:pPr>
        <w:pStyle w:val="ListParagraph"/>
        <w:numPr>
          <w:ilvl w:val="0"/>
          <w:numId w:val="13"/>
        </w:numPr>
        <w:shd w:val="clear" w:color="auto" w:fill="FFFFFF"/>
        <w:spacing w:before="100" w:beforeAutospacing="1" w:after="100" w:afterAutospacing="1" w:line="240" w:lineRule="auto"/>
        <w:jc w:val="both"/>
        <w:rPr>
          <w:rFonts w:eastAsia="Times New Roman" w:cs="Arial"/>
          <w:color w:val="000000"/>
          <w:szCs w:val="20"/>
          <w:lang w:eastAsia="en-GB"/>
        </w:rPr>
      </w:pPr>
      <w:r>
        <w:rPr>
          <w:rFonts w:eastAsia="Times New Roman" w:cs="Arial"/>
          <w:color w:val="000000"/>
          <w:szCs w:val="20"/>
          <w:lang w:eastAsia="en-GB"/>
        </w:rPr>
        <w:t>T</w:t>
      </w:r>
      <w:r w:rsidR="00657A8E" w:rsidRPr="006270D3">
        <w:rPr>
          <w:rFonts w:eastAsia="Times New Roman" w:cs="Arial"/>
          <w:color w:val="000000"/>
          <w:szCs w:val="20"/>
          <w:lang w:eastAsia="en-GB"/>
        </w:rPr>
        <w:t xml:space="preserve">he calculation of reference budgets is </w:t>
      </w:r>
      <w:r w:rsidR="00C01A09" w:rsidRPr="006270D3">
        <w:rPr>
          <w:rFonts w:eastAsia="Times New Roman" w:cs="Arial"/>
          <w:color w:val="000000"/>
          <w:szCs w:val="20"/>
          <w:lang w:eastAsia="en-GB"/>
        </w:rPr>
        <w:t>often</w:t>
      </w:r>
      <w:r w:rsidR="00657A8E" w:rsidRPr="006270D3">
        <w:rPr>
          <w:rFonts w:eastAsia="Times New Roman" w:cs="Arial"/>
          <w:color w:val="000000"/>
          <w:szCs w:val="20"/>
          <w:lang w:eastAsia="en-GB"/>
        </w:rPr>
        <w:t xml:space="preserve"> based on assumptions and models which, depending on </w:t>
      </w:r>
      <w:r w:rsidR="00034445" w:rsidRPr="006270D3">
        <w:rPr>
          <w:rFonts w:eastAsia="Times New Roman" w:cs="Arial"/>
          <w:color w:val="000000"/>
          <w:szCs w:val="20"/>
          <w:lang w:eastAsia="en-GB"/>
        </w:rPr>
        <w:t>the</w:t>
      </w:r>
      <w:r w:rsidR="00657A8E" w:rsidRPr="006270D3">
        <w:rPr>
          <w:rFonts w:eastAsia="Times New Roman" w:cs="Arial"/>
          <w:color w:val="000000"/>
          <w:szCs w:val="20"/>
          <w:lang w:eastAsia="en-GB"/>
        </w:rPr>
        <w:t xml:space="preserve"> approach used, </w:t>
      </w:r>
      <w:r w:rsidR="00F22319" w:rsidRPr="006270D3">
        <w:rPr>
          <w:rFonts w:eastAsia="Times New Roman" w:cs="Arial"/>
          <w:color w:val="000000"/>
          <w:szCs w:val="20"/>
          <w:lang w:eastAsia="en-GB"/>
        </w:rPr>
        <w:t xml:space="preserve">can </w:t>
      </w:r>
      <w:r w:rsidR="00657A8E" w:rsidRPr="006270D3">
        <w:rPr>
          <w:rFonts w:eastAsia="Times New Roman" w:cs="Arial"/>
          <w:color w:val="000000"/>
          <w:szCs w:val="20"/>
          <w:lang w:eastAsia="en-GB"/>
        </w:rPr>
        <w:t>dev</w:t>
      </w:r>
      <w:r w:rsidR="00702444" w:rsidRPr="006270D3">
        <w:rPr>
          <w:rFonts w:eastAsia="Times New Roman" w:cs="Arial"/>
          <w:color w:val="000000"/>
          <w:szCs w:val="20"/>
          <w:lang w:eastAsia="en-GB"/>
        </w:rPr>
        <w:t>iate</w:t>
      </w:r>
      <w:r w:rsidR="00F22319" w:rsidRPr="006270D3">
        <w:rPr>
          <w:rFonts w:eastAsia="Times New Roman" w:cs="Arial"/>
          <w:color w:val="000000"/>
          <w:szCs w:val="20"/>
          <w:lang w:eastAsia="en-GB"/>
        </w:rPr>
        <w:t xml:space="preserve"> significantly</w:t>
      </w:r>
      <w:r w:rsidR="00657A8E" w:rsidRPr="006270D3">
        <w:rPr>
          <w:rFonts w:eastAsia="Times New Roman" w:cs="Arial"/>
          <w:color w:val="000000"/>
          <w:szCs w:val="20"/>
          <w:lang w:eastAsia="en-GB"/>
        </w:rPr>
        <w:t xml:space="preserve"> from the real-life situation. </w:t>
      </w:r>
      <w:r w:rsidR="00F22319" w:rsidRPr="006270D3">
        <w:rPr>
          <w:rFonts w:eastAsia="Times New Roman" w:cs="Arial"/>
          <w:color w:val="000000"/>
          <w:szCs w:val="20"/>
          <w:lang w:eastAsia="en-GB"/>
        </w:rPr>
        <w:t>For example, m</w:t>
      </w:r>
      <w:r w:rsidR="00702444" w:rsidRPr="006270D3">
        <w:rPr>
          <w:rFonts w:eastAsia="Times New Roman" w:cs="Arial"/>
          <w:color w:val="000000"/>
          <w:szCs w:val="20"/>
          <w:lang w:eastAsia="en-GB"/>
        </w:rPr>
        <w:t xml:space="preserve">ost reference budgets using model families assume that all members of the family are healthy, </w:t>
      </w:r>
      <w:r w:rsidR="00F22319" w:rsidRPr="006270D3">
        <w:rPr>
          <w:rFonts w:eastAsia="Times New Roman" w:cs="Arial"/>
          <w:color w:val="000000"/>
          <w:szCs w:val="20"/>
          <w:lang w:eastAsia="en-GB"/>
        </w:rPr>
        <w:t>meaning that budgets for households with persons</w:t>
      </w:r>
      <w:r w:rsidR="00702444" w:rsidRPr="006270D3">
        <w:rPr>
          <w:rFonts w:eastAsia="Times New Roman" w:cs="Arial"/>
          <w:color w:val="000000"/>
          <w:szCs w:val="20"/>
          <w:lang w:eastAsia="en-GB"/>
        </w:rPr>
        <w:t xml:space="preserve"> who suffer from </w:t>
      </w:r>
      <w:r w:rsidR="00F22319" w:rsidRPr="006270D3">
        <w:rPr>
          <w:rFonts w:eastAsia="Times New Roman" w:cs="Arial"/>
          <w:color w:val="000000"/>
          <w:szCs w:val="20"/>
          <w:lang w:eastAsia="en-GB"/>
        </w:rPr>
        <w:t xml:space="preserve">a </w:t>
      </w:r>
      <w:r w:rsidR="00702444" w:rsidRPr="006270D3">
        <w:rPr>
          <w:rFonts w:eastAsia="Times New Roman" w:cs="Arial"/>
          <w:color w:val="000000"/>
          <w:szCs w:val="20"/>
          <w:lang w:eastAsia="en-GB"/>
        </w:rPr>
        <w:t xml:space="preserve">disease </w:t>
      </w:r>
      <w:r w:rsidR="00F22319" w:rsidRPr="006270D3">
        <w:rPr>
          <w:rFonts w:eastAsia="Times New Roman" w:cs="Arial"/>
          <w:color w:val="000000"/>
          <w:szCs w:val="20"/>
          <w:lang w:eastAsia="en-GB"/>
        </w:rPr>
        <w:t xml:space="preserve">or </w:t>
      </w:r>
      <w:r w:rsidR="00702444" w:rsidRPr="006270D3">
        <w:rPr>
          <w:rFonts w:eastAsia="Times New Roman" w:cs="Arial"/>
          <w:color w:val="000000"/>
          <w:szCs w:val="20"/>
          <w:lang w:eastAsia="en-GB"/>
        </w:rPr>
        <w:t>illness</w:t>
      </w:r>
      <w:r w:rsidR="00F22319" w:rsidRPr="006270D3">
        <w:rPr>
          <w:rFonts w:eastAsia="Times New Roman" w:cs="Arial"/>
          <w:color w:val="000000"/>
          <w:szCs w:val="20"/>
          <w:lang w:eastAsia="en-GB"/>
        </w:rPr>
        <w:t xml:space="preserve"> need to </w:t>
      </w:r>
      <w:r w:rsidR="00F030D4">
        <w:rPr>
          <w:rFonts w:eastAsia="Times New Roman" w:cs="Arial"/>
          <w:color w:val="000000"/>
          <w:szCs w:val="20"/>
          <w:lang w:eastAsia="en-GB"/>
        </w:rPr>
        <w:t xml:space="preserve">be </w:t>
      </w:r>
      <w:r w:rsidR="00F22319" w:rsidRPr="006270D3">
        <w:rPr>
          <w:rFonts w:eastAsia="Times New Roman" w:cs="Arial"/>
          <w:color w:val="000000"/>
          <w:szCs w:val="20"/>
          <w:lang w:eastAsia="en-GB"/>
        </w:rPr>
        <w:t>adjusted accordingly</w:t>
      </w:r>
      <w:r w:rsidR="00702444" w:rsidRPr="006270D3">
        <w:rPr>
          <w:rFonts w:eastAsia="Times New Roman" w:cs="Arial"/>
          <w:color w:val="000000"/>
          <w:szCs w:val="20"/>
          <w:lang w:eastAsia="en-GB"/>
        </w:rPr>
        <w:t>.</w:t>
      </w:r>
    </w:p>
    <w:p w14:paraId="35AC388E" w14:textId="77777777" w:rsidR="00BD04FF" w:rsidRDefault="00BD04FF" w:rsidP="00BD04FF">
      <w:pPr>
        <w:pStyle w:val="ListParagraph"/>
        <w:shd w:val="clear" w:color="auto" w:fill="FFFFFF"/>
        <w:spacing w:before="100" w:beforeAutospacing="1" w:after="100" w:afterAutospacing="1" w:line="240" w:lineRule="auto"/>
        <w:jc w:val="both"/>
        <w:rPr>
          <w:rFonts w:eastAsia="Times New Roman" w:cs="Arial"/>
          <w:color w:val="000000"/>
          <w:szCs w:val="20"/>
          <w:lang w:eastAsia="en-GB"/>
        </w:rPr>
      </w:pPr>
    </w:p>
    <w:p w14:paraId="2B02698B" w14:textId="0D5D6DD7" w:rsidR="00BD04FF" w:rsidRPr="00BD04FF" w:rsidRDefault="006270D3" w:rsidP="00BD04FF">
      <w:pPr>
        <w:pStyle w:val="ListParagraph"/>
        <w:numPr>
          <w:ilvl w:val="0"/>
          <w:numId w:val="13"/>
        </w:numPr>
        <w:shd w:val="clear" w:color="auto" w:fill="FFFFFF"/>
        <w:spacing w:before="100" w:beforeAutospacing="1" w:after="100" w:afterAutospacing="1" w:line="240" w:lineRule="auto"/>
        <w:jc w:val="both"/>
        <w:rPr>
          <w:rFonts w:eastAsia="Times New Roman" w:cs="Arial"/>
          <w:color w:val="000000"/>
          <w:szCs w:val="20"/>
          <w:lang w:eastAsia="en-GB"/>
        </w:rPr>
      </w:pPr>
      <w:r>
        <w:rPr>
          <w:rFonts w:eastAsia="Times New Roman" w:cs="Arial"/>
          <w:color w:val="000000"/>
          <w:szCs w:val="20"/>
          <w:lang w:eastAsia="en-GB"/>
        </w:rPr>
        <w:t>P</w:t>
      </w:r>
      <w:r w:rsidR="00F22319">
        <w:rPr>
          <w:rFonts w:eastAsia="Times New Roman" w:cs="Arial"/>
          <w:color w:val="000000"/>
          <w:szCs w:val="20"/>
          <w:lang w:eastAsia="en-GB"/>
        </w:rPr>
        <w:t xml:space="preserve">recise </w:t>
      </w:r>
      <w:r w:rsidR="00F22319" w:rsidRPr="00F22319">
        <w:rPr>
          <w:rFonts w:eastAsia="Times New Roman" w:cs="Arial"/>
          <w:color w:val="000000"/>
          <w:szCs w:val="20"/>
          <w:lang w:eastAsia="en-GB"/>
        </w:rPr>
        <w:t>calculations are difficult because of</w:t>
      </w:r>
      <w:r w:rsidR="00034445" w:rsidRPr="00F22319">
        <w:rPr>
          <w:rFonts w:eastAsia="Times New Roman" w:cs="Arial"/>
          <w:color w:val="000000"/>
          <w:szCs w:val="20"/>
          <w:lang w:eastAsia="en-GB"/>
        </w:rPr>
        <w:t xml:space="preserve"> </w:t>
      </w:r>
      <w:r w:rsidR="00332CD9" w:rsidRPr="00F22319">
        <w:rPr>
          <w:rFonts w:eastAsia="Times New Roman" w:cs="Arial"/>
          <w:color w:val="000000"/>
          <w:szCs w:val="20"/>
          <w:lang w:eastAsia="en-GB"/>
        </w:rPr>
        <w:t>varying</w:t>
      </w:r>
      <w:r w:rsidR="00034445" w:rsidRPr="00F22319">
        <w:rPr>
          <w:rFonts w:eastAsia="Times New Roman" w:cs="Arial"/>
          <w:color w:val="000000"/>
          <w:szCs w:val="20"/>
          <w:lang w:eastAsia="en-GB"/>
        </w:rPr>
        <w:t xml:space="preserve"> </w:t>
      </w:r>
      <w:r w:rsidR="00332CD9" w:rsidRPr="00F22319">
        <w:rPr>
          <w:rFonts w:eastAsia="Times New Roman" w:cs="Arial"/>
          <w:color w:val="000000"/>
          <w:szCs w:val="20"/>
          <w:lang w:eastAsia="en-GB"/>
        </w:rPr>
        <w:t>geographical circumstances and governance structures</w:t>
      </w:r>
      <w:r w:rsidR="00FE5DE3">
        <w:rPr>
          <w:rFonts w:eastAsia="Times New Roman" w:cs="Arial"/>
          <w:color w:val="000000"/>
          <w:szCs w:val="20"/>
          <w:lang w:eastAsia="en-GB"/>
        </w:rPr>
        <w:t>, which may result in different livi</w:t>
      </w:r>
      <w:r w:rsidR="00332CD9" w:rsidRPr="00F22319">
        <w:rPr>
          <w:rFonts w:eastAsia="Times New Roman" w:cs="Arial"/>
          <w:color w:val="000000"/>
          <w:szCs w:val="20"/>
          <w:lang w:eastAsia="en-GB"/>
        </w:rPr>
        <w:t>ng standards and social circumstances</w:t>
      </w:r>
      <w:r w:rsidR="00FE5DE3">
        <w:rPr>
          <w:rFonts w:eastAsia="Times New Roman" w:cs="Arial"/>
          <w:color w:val="000000"/>
          <w:szCs w:val="20"/>
          <w:lang w:eastAsia="en-GB"/>
        </w:rPr>
        <w:t xml:space="preserve"> within a national context. As such, different regions can yield different reference budgets</w:t>
      </w:r>
      <w:r w:rsidR="0064162A" w:rsidRPr="00F22319">
        <w:rPr>
          <w:rFonts w:eastAsia="Times New Roman" w:cs="Arial"/>
          <w:color w:val="000000"/>
          <w:szCs w:val="20"/>
          <w:lang w:eastAsia="en-GB"/>
        </w:rPr>
        <w:t>.</w:t>
      </w:r>
    </w:p>
    <w:p w14:paraId="357CA125" w14:textId="77777777" w:rsidR="00BD04FF" w:rsidRDefault="00BD04FF" w:rsidP="00BD04FF">
      <w:pPr>
        <w:pStyle w:val="ListParagraph"/>
        <w:shd w:val="clear" w:color="auto" w:fill="FFFFFF"/>
        <w:spacing w:before="100" w:beforeAutospacing="1" w:after="100" w:afterAutospacing="1" w:line="240" w:lineRule="auto"/>
        <w:jc w:val="both"/>
        <w:rPr>
          <w:rFonts w:eastAsia="Times New Roman" w:cs="Arial"/>
          <w:color w:val="000000"/>
          <w:szCs w:val="20"/>
          <w:lang w:eastAsia="en-GB"/>
        </w:rPr>
      </w:pPr>
    </w:p>
    <w:p w14:paraId="151A8A83" w14:textId="0820151E" w:rsidR="004B5667" w:rsidRPr="00F22319" w:rsidRDefault="006270D3" w:rsidP="00F22319">
      <w:pPr>
        <w:pStyle w:val="ListParagraph"/>
        <w:numPr>
          <w:ilvl w:val="0"/>
          <w:numId w:val="13"/>
        </w:numPr>
        <w:shd w:val="clear" w:color="auto" w:fill="FFFFFF"/>
        <w:spacing w:before="100" w:beforeAutospacing="1" w:after="100" w:afterAutospacing="1" w:line="240" w:lineRule="auto"/>
        <w:jc w:val="both"/>
        <w:rPr>
          <w:rFonts w:eastAsia="Times New Roman" w:cs="Arial"/>
          <w:color w:val="000000"/>
          <w:szCs w:val="20"/>
          <w:lang w:eastAsia="en-GB"/>
        </w:rPr>
      </w:pPr>
      <w:r>
        <w:rPr>
          <w:rFonts w:eastAsia="Times New Roman" w:cs="Arial"/>
          <w:color w:val="000000"/>
          <w:szCs w:val="20"/>
          <w:lang w:eastAsia="en-GB"/>
        </w:rPr>
        <w:t>R</w:t>
      </w:r>
      <w:r w:rsidR="006D3ED5" w:rsidRPr="00F22319">
        <w:rPr>
          <w:rFonts w:eastAsia="Times New Roman" w:cs="Arial"/>
          <w:color w:val="000000"/>
          <w:szCs w:val="20"/>
          <w:lang w:eastAsia="en-GB"/>
        </w:rPr>
        <w:t xml:space="preserve">eference budgets can be misused, </w:t>
      </w:r>
      <w:r w:rsidR="00BF0FC0" w:rsidRPr="00F22319">
        <w:rPr>
          <w:rFonts w:eastAsia="Times New Roman" w:cs="Arial"/>
          <w:color w:val="000000"/>
          <w:szCs w:val="20"/>
          <w:lang w:eastAsia="en-GB"/>
        </w:rPr>
        <w:t>for example</w:t>
      </w:r>
      <w:r w:rsidR="006D3ED5" w:rsidRPr="00F22319">
        <w:rPr>
          <w:rFonts w:eastAsia="Times New Roman" w:cs="Arial"/>
          <w:color w:val="000000"/>
          <w:szCs w:val="20"/>
          <w:lang w:eastAsia="en-GB"/>
        </w:rPr>
        <w:t xml:space="preserve"> </w:t>
      </w:r>
      <w:r w:rsidR="0030327E">
        <w:rPr>
          <w:rFonts w:eastAsia="Times New Roman" w:cs="Arial"/>
          <w:color w:val="000000"/>
          <w:szCs w:val="20"/>
          <w:lang w:eastAsia="en-GB"/>
        </w:rPr>
        <w:t>as a foundation to dictate to</w:t>
      </w:r>
      <w:r w:rsidR="006D3ED5" w:rsidRPr="00F22319">
        <w:rPr>
          <w:rFonts w:eastAsia="Times New Roman" w:cs="Arial"/>
          <w:color w:val="000000"/>
          <w:szCs w:val="20"/>
          <w:lang w:eastAsia="en-GB"/>
        </w:rPr>
        <w:t xml:space="preserve"> </w:t>
      </w:r>
      <w:r w:rsidR="0030327E">
        <w:rPr>
          <w:rFonts w:eastAsia="Times New Roman" w:cs="Arial"/>
          <w:color w:val="000000"/>
          <w:szCs w:val="20"/>
          <w:lang w:eastAsia="en-GB"/>
        </w:rPr>
        <w:t>vulnerable individuals how they should structure their expenses and daily lives</w:t>
      </w:r>
      <w:r w:rsidR="006D3ED5" w:rsidRPr="00F22319">
        <w:rPr>
          <w:rFonts w:eastAsia="Times New Roman" w:cs="Arial"/>
          <w:color w:val="000000"/>
          <w:szCs w:val="20"/>
          <w:lang w:eastAsia="en-GB"/>
        </w:rPr>
        <w:t xml:space="preserve">, </w:t>
      </w:r>
      <w:r w:rsidR="0030327E">
        <w:rPr>
          <w:rFonts w:eastAsia="Times New Roman" w:cs="Arial"/>
          <w:color w:val="000000"/>
          <w:szCs w:val="20"/>
          <w:lang w:eastAsia="en-GB"/>
        </w:rPr>
        <w:t xml:space="preserve">or </w:t>
      </w:r>
      <w:r w:rsidR="006D3ED5" w:rsidRPr="00F22319">
        <w:rPr>
          <w:rFonts w:eastAsia="Times New Roman" w:cs="Arial"/>
          <w:color w:val="000000"/>
          <w:szCs w:val="20"/>
          <w:lang w:eastAsia="en-GB"/>
        </w:rPr>
        <w:t xml:space="preserve">manipulated for political reasons. In order to counteract this, a clear and transparent methodology for reference budgets is important. </w:t>
      </w:r>
    </w:p>
    <w:p w14:paraId="2B9AB2B3" w14:textId="78845E8F" w:rsidR="007D325D" w:rsidRPr="00B30D89" w:rsidRDefault="00BD04FF" w:rsidP="007D325D">
      <w:pPr>
        <w:pStyle w:val="Heading3"/>
        <w:spacing w:line="240" w:lineRule="auto"/>
        <w:rPr>
          <w:lang w:eastAsia="en-GB"/>
        </w:rPr>
      </w:pPr>
      <w:r>
        <w:rPr>
          <w:lang w:eastAsia="en-GB"/>
        </w:rPr>
        <w:t>Why promote</w:t>
      </w:r>
      <w:r w:rsidR="007D325D" w:rsidRPr="00B30D89">
        <w:rPr>
          <w:lang w:eastAsia="en-GB"/>
        </w:rPr>
        <w:t xml:space="preserve"> </w:t>
      </w:r>
      <w:r w:rsidR="007D325D">
        <w:rPr>
          <w:lang w:eastAsia="en-GB"/>
        </w:rPr>
        <w:t xml:space="preserve">a </w:t>
      </w:r>
      <w:r w:rsidR="007D325D" w:rsidRPr="00B30D89">
        <w:rPr>
          <w:lang w:eastAsia="en-GB"/>
        </w:rPr>
        <w:t>common European methodology</w:t>
      </w:r>
      <w:r>
        <w:rPr>
          <w:lang w:eastAsia="en-GB"/>
        </w:rPr>
        <w:t>?</w:t>
      </w:r>
      <w:r w:rsidR="007D325D" w:rsidRPr="00B30D89">
        <w:rPr>
          <w:lang w:eastAsia="en-GB"/>
        </w:rPr>
        <w:t xml:space="preserve"> </w:t>
      </w:r>
    </w:p>
    <w:p w14:paraId="3A13D464" w14:textId="60FB70AE" w:rsidR="007D325D" w:rsidRPr="002D54F2" w:rsidRDefault="007D325D" w:rsidP="00474EAD">
      <w:pPr>
        <w:autoSpaceDE w:val="0"/>
        <w:autoSpaceDN w:val="0"/>
        <w:adjustRightInd w:val="0"/>
        <w:spacing w:after="0" w:line="240" w:lineRule="auto"/>
        <w:jc w:val="both"/>
        <w:rPr>
          <w:rFonts w:eastAsia="Times New Roman" w:cs="Arial"/>
          <w:szCs w:val="20"/>
          <w:lang w:eastAsia="en-GB"/>
        </w:rPr>
      </w:pPr>
      <w:r w:rsidRPr="00636D79">
        <w:rPr>
          <w:rFonts w:eastAsia="Times New Roman" w:cs="Arial"/>
          <w:szCs w:val="20"/>
          <w:lang w:eastAsia="en-GB"/>
        </w:rPr>
        <w:t>A common meth</w:t>
      </w:r>
      <w:r w:rsidR="006270D3">
        <w:rPr>
          <w:rFonts w:eastAsia="Times New Roman" w:cs="Arial"/>
          <w:szCs w:val="20"/>
          <w:lang w:eastAsia="en-GB"/>
        </w:rPr>
        <w:t xml:space="preserve">odology for </w:t>
      </w:r>
      <w:r w:rsidR="003C1F5D">
        <w:rPr>
          <w:rFonts w:eastAsia="Times New Roman" w:cs="Arial"/>
          <w:szCs w:val="20"/>
          <w:lang w:eastAsia="en-GB"/>
        </w:rPr>
        <w:t>EU</w:t>
      </w:r>
      <w:r w:rsidR="006270D3">
        <w:rPr>
          <w:rFonts w:eastAsia="Times New Roman" w:cs="Arial"/>
          <w:szCs w:val="20"/>
          <w:lang w:eastAsia="en-GB"/>
        </w:rPr>
        <w:t xml:space="preserve"> countries yields </w:t>
      </w:r>
      <w:r w:rsidRPr="00636D79">
        <w:rPr>
          <w:rFonts w:eastAsia="Times New Roman" w:cs="Arial"/>
          <w:szCs w:val="20"/>
          <w:lang w:eastAsia="en-GB"/>
        </w:rPr>
        <w:t xml:space="preserve">a number of benefits to the European Union as well as to </w:t>
      </w:r>
      <w:r w:rsidR="006270D3">
        <w:rPr>
          <w:rFonts w:eastAsia="Times New Roman" w:cs="Arial"/>
          <w:szCs w:val="20"/>
          <w:lang w:eastAsia="en-GB"/>
        </w:rPr>
        <w:t>its M</w:t>
      </w:r>
      <w:r w:rsidRPr="00636D79">
        <w:rPr>
          <w:rFonts w:eastAsia="Times New Roman" w:cs="Arial"/>
          <w:szCs w:val="20"/>
          <w:lang w:eastAsia="en-GB"/>
        </w:rPr>
        <w:t xml:space="preserve">ember </w:t>
      </w:r>
      <w:r w:rsidR="006270D3">
        <w:rPr>
          <w:rFonts w:eastAsia="Times New Roman" w:cs="Arial"/>
          <w:szCs w:val="20"/>
          <w:lang w:eastAsia="en-GB"/>
        </w:rPr>
        <w:t>S</w:t>
      </w:r>
      <w:r w:rsidRPr="00636D79">
        <w:rPr>
          <w:rFonts w:eastAsia="Times New Roman" w:cs="Arial"/>
          <w:szCs w:val="20"/>
          <w:lang w:eastAsia="en-GB"/>
        </w:rPr>
        <w:t>tates</w:t>
      </w:r>
      <w:r w:rsidR="00474EAD">
        <w:rPr>
          <w:rFonts w:eastAsia="Times New Roman" w:cs="Arial"/>
          <w:szCs w:val="20"/>
          <w:lang w:eastAsia="en-GB"/>
        </w:rPr>
        <w:t xml:space="preserve">. </w:t>
      </w:r>
      <w:r w:rsidR="003C1F5D">
        <w:rPr>
          <w:rFonts w:eastAsia="Times New Roman" w:cs="Arial"/>
          <w:szCs w:val="20"/>
          <w:lang w:eastAsia="en-GB"/>
        </w:rPr>
        <w:t>First of all, it can support Me</w:t>
      </w:r>
      <w:r w:rsidRPr="00474EAD">
        <w:rPr>
          <w:rFonts w:eastAsia="Times New Roman" w:cs="Arial"/>
          <w:szCs w:val="20"/>
          <w:lang w:eastAsia="en-GB"/>
        </w:rPr>
        <w:t xml:space="preserve">mber </w:t>
      </w:r>
      <w:r w:rsidR="003C1F5D">
        <w:rPr>
          <w:rFonts w:eastAsia="Times New Roman" w:cs="Arial"/>
          <w:szCs w:val="20"/>
          <w:lang w:eastAsia="en-GB"/>
        </w:rPr>
        <w:t>S</w:t>
      </w:r>
      <w:r w:rsidRPr="00474EAD">
        <w:rPr>
          <w:rFonts w:eastAsia="Times New Roman" w:cs="Arial"/>
          <w:szCs w:val="20"/>
          <w:lang w:eastAsia="en-GB"/>
        </w:rPr>
        <w:t xml:space="preserve">tates </w:t>
      </w:r>
      <w:r w:rsidR="003C1F5D">
        <w:rPr>
          <w:rFonts w:eastAsia="Times New Roman" w:cs="Arial"/>
          <w:szCs w:val="20"/>
          <w:lang w:eastAsia="en-GB"/>
        </w:rPr>
        <w:t>in</w:t>
      </w:r>
      <w:r w:rsidRPr="00474EAD">
        <w:rPr>
          <w:rFonts w:eastAsia="Times New Roman" w:cs="Arial"/>
          <w:szCs w:val="20"/>
          <w:lang w:eastAsia="en-GB"/>
        </w:rPr>
        <w:t xml:space="preserve"> design</w:t>
      </w:r>
      <w:r w:rsidR="003C1F5D">
        <w:rPr>
          <w:rFonts w:eastAsia="Times New Roman" w:cs="Arial"/>
          <w:szCs w:val="20"/>
          <w:lang w:eastAsia="en-GB"/>
        </w:rPr>
        <w:t>ing and improving</w:t>
      </w:r>
      <w:r w:rsidRPr="00474EAD">
        <w:rPr>
          <w:rFonts w:eastAsia="Times New Roman" w:cs="Arial"/>
          <w:szCs w:val="20"/>
          <w:lang w:eastAsia="en-GB"/>
        </w:rPr>
        <w:t xml:space="preserve"> their income support measures by comparing their reference </w:t>
      </w:r>
      <w:r w:rsidRPr="002D54F2">
        <w:rPr>
          <w:rFonts w:eastAsia="Times New Roman" w:cs="Arial"/>
          <w:szCs w:val="20"/>
          <w:lang w:eastAsia="en-GB"/>
        </w:rPr>
        <w:t>budgets with other countries</w:t>
      </w:r>
      <w:r w:rsidR="00474EAD" w:rsidRPr="002D54F2">
        <w:rPr>
          <w:rFonts w:eastAsia="Times New Roman" w:cs="Arial"/>
          <w:szCs w:val="20"/>
          <w:lang w:eastAsia="en-GB"/>
        </w:rPr>
        <w:t>; t</w:t>
      </w:r>
      <w:r w:rsidR="002D54F2">
        <w:rPr>
          <w:rFonts w:eastAsia="Times New Roman" w:cs="Arial"/>
          <w:szCs w:val="20"/>
          <w:lang w:eastAsia="en-GB"/>
        </w:rPr>
        <w:t>his is reinforced through</w:t>
      </w:r>
      <w:r w:rsidRPr="002D54F2">
        <w:rPr>
          <w:rFonts w:eastAsia="Times New Roman" w:cs="Arial"/>
          <w:szCs w:val="20"/>
          <w:lang w:eastAsia="en-GB"/>
        </w:rPr>
        <w:t xml:space="preserve"> facilitated policy learning and exchange of best practices. Furthermore, a common methodology supports the European Commission in </w:t>
      </w:r>
      <w:r w:rsidR="002D54F2" w:rsidRPr="002D54F2">
        <w:rPr>
          <w:rFonts w:eastAsia="Times New Roman" w:cs="Arial"/>
          <w:szCs w:val="20"/>
          <w:lang w:eastAsia="en-GB"/>
        </w:rPr>
        <w:t xml:space="preserve">monitoring </w:t>
      </w:r>
      <w:r w:rsidRPr="002D54F2">
        <w:rPr>
          <w:rFonts w:eastAsia="Times New Roman" w:cs="Arial"/>
          <w:szCs w:val="20"/>
          <w:lang w:eastAsia="en-GB"/>
        </w:rPr>
        <w:t xml:space="preserve">efforts taken by </w:t>
      </w:r>
      <w:r w:rsidR="002D54F2" w:rsidRPr="002D54F2">
        <w:rPr>
          <w:rFonts w:eastAsia="Times New Roman" w:cs="Arial"/>
          <w:szCs w:val="20"/>
          <w:lang w:eastAsia="en-GB"/>
        </w:rPr>
        <w:t>M</w:t>
      </w:r>
      <w:r w:rsidRPr="002D54F2">
        <w:rPr>
          <w:rFonts w:eastAsia="Times New Roman" w:cs="Arial"/>
          <w:szCs w:val="20"/>
          <w:lang w:eastAsia="en-GB"/>
        </w:rPr>
        <w:t xml:space="preserve">ember </w:t>
      </w:r>
      <w:r w:rsidR="002D54F2" w:rsidRPr="002D54F2">
        <w:rPr>
          <w:rFonts w:eastAsia="Times New Roman" w:cs="Arial"/>
          <w:szCs w:val="20"/>
          <w:lang w:eastAsia="en-GB"/>
        </w:rPr>
        <w:t>S</w:t>
      </w:r>
      <w:r w:rsidRPr="002D54F2">
        <w:rPr>
          <w:rFonts w:eastAsia="Times New Roman" w:cs="Arial"/>
          <w:szCs w:val="20"/>
          <w:lang w:eastAsia="en-GB"/>
        </w:rPr>
        <w:t xml:space="preserve">tates to </w:t>
      </w:r>
      <w:r w:rsidR="002D54F2" w:rsidRPr="002D54F2">
        <w:rPr>
          <w:rFonts w:eastAsia="Times New Roman" w:cs="Arial"/>
          <w:szCs w:val="20"/>
          <w:lang w:eastAsia="en-GB"/>
        </w:rPr>
        <w:t>provide adequate safety nets for those with</w:t>
      </w:r>
      <w:r w:rsidR="00443B4E">
        <w:rPr>
          <w:rFonts w:eastAsia="Times New Roman" w:cs="Arial"/>
          <w:szCs w:val="20"/>
          <w:lang w:eastAsia="en-GB"/>
        </w:rPr>
        <w:t>out access to</w:t>
      </w:r>
      <w:r w:rsidR="002D54F2" w:rsidRPr="002D54F2">
        <w:rPr>
          <w:rFonts w:eastAsia="Times New Roman" w:cs="Arial"/>
          <w:szCs w:val="20"/>
          <w:lang w:eastAsia="en-GB"/>
        </w:rPr>
        <w:t xml:space="preserve"> alternative sources of income</w:t>
      </w:r>
      <w:r w:rsidRPr="002D54F2">
        <w:rPr>
          <w:rFonts w:eastAsia="Times New Roman" w:cs="Arial"/>
          <w:szCs w:val="20"/>
          <w:lang w:eastAsia="en-GB"/>
        </w:rPr>
        <w:t xml:space="preserve">, and in monitoring and implementing the </w:t>
      </w:r>
      <w:hyperlink r:id="rId11" w:history="1">
        <w:r w:rsidRPr="002D54F2">
          <w:rPr>
            <w:rStyle w:val="Hyperlink"/>
            <w:rFonts w:eastAsia="Times New Roman" w:cs="Arial"/>
            <w:color w:val="auto"/>
            <w:szCs w:val="20"/>
            <w:u w:val="none"/>
            <w:lang w:eastAsia="en-GB"/>
          </w:rPr>
          <w:t xml:space="preserve">2008 </w:t>
        </w:r>
        <w:r w:rsidR="002D54F2" w:rsidRPr="002D54F2">
          <w:rPr>
            <w:rStyle w:val="Hyperlink"/>
            <w:rFonts w:eastAsia="Times New Roman" w:cs="Arial"/>
            <w:color w:val="auto"/>
            <w:szCs w:val="20"/>
            <w:u w:val="none"/>
            <w:lang w:eastAsia="en-GB"/>
          </w:rPr>
          <w:t>A</w:t>
        </w:r>
        <w:r w:rsidRPr="002D54F2">
          <w:rPr>
            <w:rStyle w:val="Hyperlink"/>
            <w:rFonts w:eastAsia="Times New Roman" w:cs="Arial"/>
            <w:color w:val="auto"/>
            <w:szCs w:val="20"/>
            <w:u w:val="none"/>
            <w:lang w:eastAsia="en-GB"/>
          </w:rPr>
          <w:t xml:space="preserve">ctive </w:t>
        </w:r>
        <w:r w:rsidR="002D54F2" w:rsidRPr="002D54F2">
          <w:rPr>
            <w:rStyle w:val="Hyperlink"/>
            <w:rFonts w:eastAsia="Times New Roman" w:cs="Arial"/>
            <w:color w:val="auto"/>
            <w:szCs w:val="20"/>
            <w:u w:val="none"/>
            <w:lang w:eastAsia="en-GB"/>
          </w:rPr>
          <w:t>Inclusion R</w:t>
        </w:r>
        <w:r w:rsidRPr="002D54F2">
          <w:rPr>
            <w:rStyle w:val="Hyperlink"/>
            <w:rFonts w:eastAsia="Times New Roman" w:cs="Arial"/>
            <w:color w:val="auto"/>
            <w:szCs w:val="20"/>
            <w:u w:val="none"/>
            <w:lang w:eastAsia="en-GB"/>
          </w:rPr>
          <w:t>ecommendation</w:t>
        </w:r>
      </w:hyperlink>
      <w:r w:rsidRPr="002D54F2">
        <w:rPr>
          <w:rStyle w:val="FootnoteReference"/>
          <w:rFonts w:eastAsia="Times New Roman" w:cs="Arial"/>
          <w:szCs w:val="20"/>
          <w:lang w:eastAsia="en-GB"/>
        </w:rPr>
        <w:footnoteReference w:id="4"/>
      </w:r>
      <w:r w:rsidRPr="002D54F2">
        <w:rPr>
          <w:rFonts w:eastAsia="Times New Roman" w:cs="Arial"/>
          <w:szCs w:val="20"/>
          <w:lang w:eastAsia="en-GB"/>
        </w:rPr>
        <w:t xml:space="preserve"> and the </w:t>
      </w:r>
      <w:hyperlink r:id="rId12" w:history="1">
        <w:r w:rsidRPr="002D54F2">
          <w:rPr>
            <w:rStyle w:val="Hyperlink"/>
            <w:rFonts w:eastAsia="Times New Roman" w:cs="Arial"/>
            <w:color w:val="auto"/>
            <w:szCs w:val="20"/>
            <w:u w:val="none"/>
            <w:lang w:eastAsia="en-GB"/>
          </w:rPr>
          <w:t>2013 Social Investment Package</w:t>
        </w:r>
      </w:hyperlink>
      <w:r w:rsidRPr="002D54F2">
        <w:rPr>
          <w:rFonts w:eastAsia="Times New Roman" w:cs="Arial"/>
          <w:szCs w:val="20"/>
          <w:lang w:eastAsia="en-GB"/>
        </w:rPr>
        <w:t>.</w:t>
      </w:r>
    </w:p>
    <w:p w14:paraId="0F0F7EEB" w14:textId="6EAC664C" w:rsidR="00506A69" w:rsidRPr="004D1D2C" w:rsidRDefault="00506A69" w:rsidP="00957134">
      <w:pPr>
        <w:pStyle w:val="Heading3"/>
        <w:spacing w:line="240" w:lineRule="auto"/>
        <w:rPr>
          <w:lang w:eastAsia="en-GB"/>
        </w:rPr>
      </w:pPr>
      <w:r w:rsidRPr="00506A69">
        <w:rPr>
          <w:lang w:eastAsia="en-GB"/>
        </w:rPr>
        <w:lastRenderedPageBreak/>
        <w:t>Summary of the project</w:t>
      </w:r>
    </w:p>
    <w:p w14:paraId="40BD25F5" w14:textId="5B29283F" w:rsidR="00CB17A9" w:rsidRPr="001B5341" w:rsidRDefault="00910BE1" w:rsidP="00506A69">
      <w:pPr>
        <w:shd w:val="clear" w:color="auto" w:fill="FFFFFF"/>
        <w:spacing w:after="0" w:line="240" w:lineRule="auto"/>
        <w:jc w:val="both"/>
        <w:rPr>
          <w:rFonts w:eastAsia="Times New Roman" w:cs="Arial"/>
          <w:color w:val="212121"/>
          <w:szCs w:val="20"/>
          <w:lang w:eastAsia="en-GB"/>
        </w:rPr>
      </w:pPr>
      <w:r>
        <w:rPr>
          <w:rFonts w:eastAsia="Times New Roman" w:cs="Arial"/>
          <w:color w:val="212121"/>
          <w:szCs w:val="20"/>
          <w:lang w:eastAsia="en-GB"/>
        </w:rPr>
        <w:t xml:space="preserve">The </w:t>
      </w:r>
      <w:r w:rsidR="00527689">
        <w:rPr>
          <w:rFonts w:eastAsia="Times New Roman" w:cs="Arial"/>
          <w:color w:val="212121"/>
          <w:szCs w:val="20"/>
          <w:lang w:eastAsia="en-GB"/>
        </w:rPr>
        <w:t xml:space="preserve">task of developing a </w:t>
      </w:r>
      <w:r w:rsidR="001B5341">
        <w:rPr>
          <w:rFonts w:eastAsia="Times New Roman" w:cs="Arial"/>
          <w:color w:val="212121"/>
          <w:szCs w:val="20"/>
          <w:lang w:eastAsia="en-GB"/>
        </w:rPr>
        <w:t xml:space="preserve">common </w:t>
      </w:r>
      <w:r w:rsidR="00527689">
        <w:rPr>
          <w:rFonts w:eastAsia="Times New Roman" w:cs="Arial"/>
          <w:color w:val="212121"/>
          <w:szCs w:val="20"/>
          <w:lang w:eastAsia="en-GB"/>
        </w:rPr>
        <w:t>procedure to develop comparable reference budgets in the EU was given to t</w:t>
      </w:r>
      <w:r w:rsidR="00A876DC">
        <w:rPr>
          <w:rFonts w:eastAsia="Times New Roman" w:cs="Arial"/>
          <w:color w:val="212121"/>
          <w:szCs w:val="20"/>
          <w:lang w:eastAsia="en-GB"/>
        </w:rPr>
        <w:t xml:space="preserve">he </w:t>
      </w:r>
      <w:r w:rsidR="00A876DC" w:rsidRPr="00AD6D24">
        <w:rPr>
          <w:rFonts w:eastAsia="Times New Roman" w:cs="Arial"/>
          <w:color w:val="212121"/>
          <w:szCs w:val="20"/>
          <w:lang w:eastAsia="en-GB"/>
        </w:rPr>
        <w:t xml:space="preserve">Herman </w:t>
      </w:r>
      <w:proofErr w:type="spellStart"/>
      <w:r w:rsidR="00A876DC" w:rsidRPr="00AD6D24">
        <w:rPr>
          <w:rFonts w:eastAsia="Times New Roman" w:cs="Arial"/>
          <w:color w:val="212121"/>
          <w:szCs w:val="20"/>
          <w:lang w:eastAsia="en-GB"/>
        </w:rPr>
        <w:t>Deleeck</w:t>
      </w:r>
      <w:proofErr w:type="spellEnd"/>
      <w:r w:rsidR="00A876DC" w:rsidRPr="00AD6D24">
        <w:rPr>
          <w:rFonts w:eastAsia="Times New Roman" w:cs="Arial"/>
          <w:color w:val="212121"/>
          <w:szCs w:val="20"/>
          <w:lang w:eastAsia="en-GB"/>
        </w:rPr>
        <w:t xml:space="preserve"> Centre for Social Policy</w:t>
      </w:r>
      <w:r w:rsidR="00A876DC">
        <w:rPr>
          <w:rFonts w:eastAsia="Times New Roman" w:cs="Arial"/>
          <w:color w:val="212121"/>
          <w:szCs w:val="20"/>
          <w:lang w:eastAsia="en-GB"/>
        </w:rPr>
        <w:t xml:space="preserve"> </w:t>
      </w:r>
      <w:r w:rsidR="00527689">
        <w:rPr>
          <w:rFonts w:eastAsia="Times New Roman" w:cs="Arial"/>
          <w:color w:val="212121"/>
          <w:szCs w:val="20"/>
          <w:lang w:eastAsia="en-GB"/>
        </w:rPr>
        <w:t>of</w:t>
      </w:r>
      <w:r w:rsidR="00A876DC">
        <w:rPr>
          <w:rFonts w:eastAsia="Times New Roman" w:cs="Arial"/>
          <w:color w:val="212121"/>
          <w:szCs w:val="20"/>
          <w:lang w:eastAsia="en-GB"/>
        </w:rPr>
        <w:t xml:space="preserve"> the University of Antwerp and </w:t>
      </w:r>
      <w:r w:rsidR="00527689">
        <w:rPr>
          <w:rFonts w:eastAsia="Times New Roman" w:cs="Arial"/>
          <w:color w:val="212121"/>
          <w:szCs w:val="20"/>
          <w:lang w:eastAsia="en-GB"/>
        </w:rPr>
        <w:t xml:space="preserve">to </w:t>
      </w:r>
      <w:r w:rsidR="00AD6D24">
        <w:rPr>
          <w:rFonts w:eastAsia="Times New Roman" w:cs="Arial"/>
          <w:color w:val="212121"/>
          <w:szCs w:val="20"/>
          <w:lang w:eastAsia="en-GB"/>
        </w:rPr>
        <w:t>Applica, an in</w:t>
      </w:r>
      <w:r w:rsidR="00A876DC">
        <w:rPr>
          <w:rFonts w:eastAsia="Times New Roman" w:cs="Arial"/>
          <w:color w:val="212121"/>
          <w:szCs w:val="20"/>
          <w:lang w:eastAsia="en-GB"/>
        </w:rPr>
        <w:t>dependent research company</w:t>
      </w:r>
      <w:r w:rsidR="00527689">
        <w:rPr>
          <w:rFonts w:eastAsia="Times New Roman" w:cs="Arial"/>
          <w:color w:val="212121"/>
          <w:szCs w:val="20"/>
          <w:lang w:eastAsia="en-GB"/>
        </w:rPr>
        <w:t>.</w:t>
      </w:r>
      <w:r w:rsidR="00CB17A9">
        <w:rPr>
          <w:rFonts w:eastAsia="Times New Roman" w:cs="Arial"/>
          <w:color w:val="212121"/>
          <w:szCs w:val="20"/>
          <w:lang w:eastAsia="en-GB"/>
        </w:rPr>
        <w:t xml:space="preserve"> </w:t>
      </w:r>
      <w:r w:rsidR="00527689">
        <w:rPr>
          <w:rFonts w:eastAsia="Times New Roman" w:cs="Arial"/>
          <w:color w:val="212121"/>
          <w:szCs w:val="20"/>
          <w:lang w:eastAsia="en-GB"/>
        </w:rPr>
        <w:t>T</w:t>
      </w:r>
      <w:r w:rsidR="005C405A">
        <w:rPr>
          <w:rFonts w:eastAsia="Times New Roman" w:cs="Arial"/>
          <w:color w:val="212121"/>
          <w:szCs w:val="20"/>
          <w:lang w:eastAsia="en-GB"/>
        </w:rPr>
        <w:t>he authors</w:t>
      </w:r>
      <w:r w:rsidR="0000151D">
        <w:rPr>
          <w:rStyle w:val="FootnoteReference"/>
          <w:rFonts w:eastAsia="Times New Roman" w:cs="Arial"/>
          <w:color w:val="212121"/>
          <w:szCs w:val="20"/>
          <w:lang w:eastAsia="en-GB"/>
        </w:rPr>
        <w:footnoteReference w:id="5"/>
      </w:r>
      <w:r w:rsidR="005C405A">
        <w:rPr>
          <w:rFonts w:eastAsia="Times New Roman" w:cs="Arial"/>
          <w:color w:val="212121"/>
          <w:szCs w:val="20"/>
          <w:lang w:eastAsia="en-GB"/>
        </w:rPr>
        <w:t xml:space="preserve"> compared and analysed </w:t>
      </w:r>
      <w:r w:rsidR="00CB17A9">
        <w:rPr>
          <w:rFonts w:eastAsia="Times New Roman" w:cs="Arial"/>
          <w:color w:val="212121"/>
          <w:szCs w:val="20"/>
          <w:lang w:eastAsia="en-GB"/>
        </w:rPr>
        <w:t xml:space="preserve">different methods and procedures </w:t>
      </w:r>
      <w:r w:rsidR="001B5341">
        <w:rPr>
          <w:rFonts w:eastAsia="Times New Roman" w:cs="Arial"/>
          <w:color w:val="212121"/>
          <w:szCs w:val="20"/>
          <w:lang w:eastAsia="en-GB"/>
        </w:rPr>
        <w:t xml:space="preserve">to </w:t>
      </w:r>
      <w:proofErr w:type="spellStart"/>
      <w:r w:rsidR="001B5341">
        <w:rPr>
          <w:rFonts w:eastAsia="Times New Roman" w:cs="Arial"/>
          <w:color w:val="212121"/>
          <w:szCs w:val="20"/>
          <w:lang w:eastAsia="en-GB"/>
        </w:rPr>
        <w:t>inventise</w:t>
      </w:r>
      <w:proofErr w:type="spellEnd"/>
      <w:r w:rsidR="00CB17A9">
        <w:rPr>
          <w:rFonts w:eastAsia="Times New Roman" w:cs="Arial"/>
          <w:color w:val="212121"/>
          <w:szCs w:val="20"/>
          <w:lang w:eastAsia="en-GB"/>
        </w:rPr>
        <w:t xml:space="preserve"> their</w:t>
      </w:r>
      <w:r w:rsidR="001B5341">
        <w:rPr>
          <w:rFonts w:eastAsia="Times New Roman" w:cs="Arial"/>
          <w:color w:val="212121"/>
          <w:szCs w:val="20"/>
          <w:lang w:eastAsia="en-GB"/>
        </w:rPr>
        <w:t xml:space="preserve"> respective</w:t>
      </w:r>
      <w:r w:rsidR="00CB17A9">
        <w:rPr>
          <w:rFonts w:eastAsia="Times New Roman" w:cs="Arial"/>
          <w:color w:val="212121"/>
          <w:szCs w:val="20"/>
          <w:lang w:eastAsia="en-GB"/>
        </w:rPr>
        <w:t xml:space="preserve"> strengths </w:t>
      </w:r>
      <w:r w:rsidR="005C405A">
        <w:rPr>
          <w:rFonts w:eastAsia="Times New Roman" w:cs="Arial"/>
          <w:color w:val="212121"/>
          <w:szCs w:val="20"/>
          <w:lang w:eastAsia="en-GB"/>
        </w:rPr>
        <w:t>and weaknesses</w:t>
      </w:r>
      <w:r w:rsidR="001B5341">
        <w:rPr>
          <w:rFonts w:eastAsia="Times New Roman" w:cs="Arial"/>
          <w:color w:val="212121"/>
          <w:szCs w:val="20"/>
          <w:lang w:eastAsia="en-GB"/>
        </w:rPr>
        <w:t>,</w:t>
      </w:r>
      <w:r w:rsidR="005C405A">
        <w:rPr>
          <w:rFonts w:eastAsia="Times New Roman" w:cs="Arial"/>
          <w:color w:val="212121"/>
          <w:szCs w:val="20"/>
          <w:lang w:eastAsia="en-GB"/>
        </w:rPr>
        <w:t xml:space="preserve"> and then </w:t>
      </w:r>
      <w:r w:rsidR="005C405A" w:rsidRPr="001B5341">
        <w:rPr>
          <w:rFonts w:eastAsia="Times New Roman" w:cs="Arial"/>
          <w:color w:val="212121"/>
          <w:szCs w:val="20"/>
          <w:lang w:eastAsia="en-GB"/>
        </w:rPr>
        <w:t>developed their own methodology</w:t>
      </w:r>
      <w:r w:rsidR="005C405A">
        <w:rPr>
          <w:rFonts w:eastAsia="Times New Roman" w:cs="Arial"/>
          <w:color w:val="212121"/>
          <w:szCs w:val="20"/>
          <w:lang w:eastAsia="en-GB"/>
        </w:rPr>
        <w:t xml:space="preserve"> which draws on the strengths of several approaches and is most suitable for cross-country comparability.</w:t>
      </w:r>
      <w:r w:rsidR="006A0263">
        <w:rPr>
          <w:rFonts w:eastAsia="Times New Roman" w:cs="Arial"/>
          <w:color w:val="212121"/>
          <w:szCs w:val="20"/>
          <w:lang w:eastAsia="en-GB"/>
        </w:rPr>
        <w:t xml:space="preserve"> </w:t>
      </w:r>
      <w:r w:rsidR="00F85259">
        <w:rPr>
          <w:rFonts w:eastAsia="Times New Roman" w:cs="Arial"/>
          <w:color w:val="212121"/>
          <w:szCs w:val="20"/>
          <w:lang w:eastAsia="en-GB"/>
        </w:rPr>
        <w:t>The methodology combines input from expert groups and domain specialists</w:t>
      </w:r>
      <w:r w:rsidR="001B5341">
        <w:rPr>
          <w:rFonts w:eastAsia="Times New Roman" w:cs="Arial"/>
          <w:color w:val="212121"/>
          <w:szCs w:val="20"/>
          <w:lang w:eastAsia="en-GB"/>
        </w:rPr>
        <w:t xml:space="preserve">, </w:t>
      </w:r>
      <w:r w:rsidR="00F85259">
        <w:rPr>
          <w:rFonts w:eastAsia="Times New Roman" w:cs="Arial"/>
          <w:color w:val="212121"/>
          <w:szCs w:val="20"/>
          <w:lang w:eastAsia="en-GB"/>
        </w:rPr>
        <w:t xml:space="preserve">consultations of citizens and statistical data, </w:t>
      </w:r>
      <w:r w:rsidR="001B5341">
        <w:rPr>
          <w:rFonts w:eastAsia="Times New Roman" w:cs="Arial"/>
          <w:color w:val="212121"/>
          <w:szCs w:val="20"/>
          <w:lang w:eastAsia="en-GB"/>
        </w:rPr>
        <w:t xml:space="preserve">thereby relying on </w:t>
      </w:r>
      <w:r w:rsidR="00F85259">
        <w:rPr>
          <w:rFonts w:eastAsia="Times New Roman" w:cs="Arial"/>
          <w:color w:val="212121"/>
          <w:szCs w:val="20"/>
          <w:lang w:eastAsia="en-GB"/>
        </w:rPr>
        <w:t xml:space="preserve">a </w:t>
      </w:r>
      <w:r w:rsidR="00E370BF" w:rsidRPr="001B5341">
        <w:rPr>
          <w:rFonts w:eastAsia="Times New Roman" w:cs="Arial"/>
          <w:color w:val="212121"/>
          <w:szCs w:val="20"/>
          <w:lang w:eastAsia="en-GB"/>
        </w:rPr>
        <w:t>mixed-method</w:t>
      </w:r>
      <w:r w:rsidR="00F85259" w:rsidRPr="001B5341">
        <w:rPr>
          <w:rFonts w:eastAsia="Times New Roman" w:cs="Arial"/>
          <w:color w:val="212121"/>
          <w:szCs w:val="20"/>
          <w:lang w:eastAsia="en-GB"/>
        </w:rPr>
        <w:t xml:space="preserve"> approach. </w:t>
      </w:r>
      <w:r w:rsidR="001B5341" w:rsidRPr="001B5341">
        <w:rPr>
          <w:rFonts w:eastAsia="Times New Roman" w:cs="Arial"/>
          <w:color w:val="212121"/>
          <w:szCs w:val="20"/>
          <w:lang w:eastAsia="en-GB"/>
        </w:rPr>
        <w:t>R</w:t>
      </w:r>
      <w:r w:rsidR="00A31697" w:rsidRPr="001B5341">
        <w:rPr>
          <w:rFonts w:eastAsia="Times New Roman" w:cs="Arial"/>
          <w:color w:val="212121"/>
          <w:szCs w:val="20"/>
          <w:lang w:eastAsia="en-GB"/>
        </w:rPr>
        <w:t>eference budget</w:t>
      </w:r>
      <w:r w:rsidR="001B5341" w:rsidRPr="001B5341">
        <w:rPr>
          <w:rFonts w:eastAsia="Times New Roman" w:cs="Arial"/>
          <w:color w:val="212121"/>
          <w:szCs w:val="20"/>
          <w:lang w:eastAsia="en-GB"/>
        </w:rPr>
        <w:t xml:space="preserve">s developed through this procedure should be able to adequately </w:t>
      </w:r>
      <w:r w:rsidR="00A31697" w:rsidRPr="001B5341">
        <w:rPr>
          <w:rFonts w:eastAsia="Times New Roman" w:cs="Arial"/>
          <w:color w:val="212121"/>
          <w:szCs w:val="20"/>
          <w:lang w:eastAsia="en-GB"/>
        </w:rPr>
        <w:t xml:space="preserve">represent the minimum financial resources needed </w:t>
      </w:r>
      <w:r w:rsidR="001B5341" w:rsidRPr="001B5341">
        <w:rPr>
          <w:rFonts w:eastAsia="Times New Roman" w:cs="Arial"/>
          <w:color w:val="212121"/>
          <w:szCs w:val="20"/>
          <w:lang w:eastAsia="en-GB"/>
        </w:rPr>
        <w:t>for societal participation, whilst also being comparable across national borders</w:t>
      </w:r>
      <w:r w:rsidR="00A31697" w:rsidRPr="001B5341">
        <w:rPr>
          <w:rFonts w:eastAsia="Times New Roman" w:cs="Arial"/>
          <w:color w:val="212121"/>
          <w:szCs w:val="20"/>
          <w:lang w:eastAsia="en-GB"/>
        </w:rPr>
        <w:t xml:space="preserve">. </w:t>
      </w:r>
    </w:p>
    <w:p w14:paraId="7FCA0CA0" w14:textId="77777777" w:rsidR="007D325D" w:rsidRDefault="007D325D" w:rsidP="00506A69">
      <w:pPr>
        <w:shd w:val="clear" w:color="auto" w:fill="FFFFFF"/>
        <w:spacing w:after="0" w:line="240" w:lineRule="auto"/>
        <w:jc w:val="both"/>
        <w:rPr>
          <w:rFonts w:eastAsia="Times New Roman" w:cs="Arial"/>
          <w:color w:val="212121"/>
          <w:szCs w:val="20"/>
          <w:lang w:eastAsia="en-GB"/>
        </w:rPr>
      </w:pPr>
    </w:p>
    <w:p w14:paraId="175675EB" w14:textId="16A03A39" w:rsidR="00762F6F" w:rsidRDefault="00DE35A6" w:rsidP="00506A69">
      <w:pPr>
        <w:shd w:val="clear" w:color="auto" w:fill="FFFFFF"/>
        <w:spacing w:after="0" w:line="240" w:lineRule="auto"/>
        <w:jc w:val="both"/>
        <w:rPr>
          <w:rFonts w:eastAsia="Times New Roman" w:cs="Arial"/>
          <w:color w:val="212121"/>
          <w:szCs w:val="20"/>
          <w:lang w:eastAsia="en-GB"/>
        </w:rPr>
      </w:pPr>
      <w:r>
        <w:rPr>
          <w:rFonts w:eastAsia="Times New Roman" w:cs="Arial"/>
          <w:color w:val="212121"/>
          <w:szCs w:val="20"/>
          <w:lang w:eastAsia="en-GB"/>
        </w:rPr>
        <w:t>The</w:t>
      </w:r>
      <w:r w:rsidR="00793FE5">
        <w:rPr>
          <w:rFonts w:eastAsia="Times New Roman" w:cs="Arial"/>
          <w:color w:val="212121"/>
          <w:szCs w:val="20"/>
          <w:lang w:eastAsia="en-GB"/>
        </w:rPr>
        <w:t xml:space="preserve"> procedure divides the</w:t>
      </w:r>
      <w:r>
        <w:rPr>
          <w:rFonts w:eastAsia="Times New Roman" w:cs="Arial"/>
          <w:color w:val="212121"/>
          <w:szCs w:val="20"/>
          <w:lang w:eastAsia="en-GB"/>
        </w:rPr>
        <w:t xml:space="preserve"> process of developing </w:t>
      </w:r>
      <w:r w:rsidR="00A95B53">
        <w:rPr>
          <w:rFonts w:eastAsia="Times New Roman" w:cs="Arial"/>
          <w:color w:val="212121"/>
          <w:szCs w:val="20"/>
          <w:lang w:eastAsia="en-GB"/>
        </w:rPr>
        <w:t>r</w:t>
      </w:r>
      <w:r w:rsidR="00CB17A9">
        <w:rPr>
          <w:rFonts w:eastAsia="Times New Roman" w:cs="Arial"/>
          <w:color w:val="212121"/>
          <w:szCs w:val="20"/>
          <w:lang w:eastAsia="en-GB"/>
        </w:rPr>
        <w:t xml:space="preserve">eference budgets into </w:t>
      </w:r>
      <w:r w:rsidR="00CB17A9" w:rsidRPr="00793FE5">
        <w:rPr>
          <w:rFonts w:eastAsia="Times New Roman" w:cs="Arial"/>
          <w:color w:val="212121"/>
          <w:szCs w:val="20"/>
          <w:lang w:eastAsia="en-GB"/>
        </w:rPr>
        <w:t xml:space="preserve">six </w:t>
      </w:r>
      <w:r w:rsidR="00793FE5">
        <w:rPr>
          <w:rFonts w:eastAsia="Times New Roman" w:cs="Arial"/>
          <w:color w:val="212121"/>
          <w:szCs w:val="20"/>
          <w:lang w:eastAsia="en-GB"/>
        </w:rPr>
        <w:t xml:space="preserve">distinct </w:t>
      </w:r>
      <w:r w:rsidR="00CB17A9" w:rsidRPr="00793FE5">
        <w:rPr>
          <w:rFonts w:eastAsia="Times New Roman" w:cs="Arial"/>
          <w:color w:val="212121"/>
          <w:szCs w:val="20"/>
          <w:lang w:eastAsia="en-GB"/>
        </w:rPr>
        <w:t>phases</w:t>
      </w:r>
      <w:r w:rsidR="00793FE5" w:rsidRPr="00793FE5">
        <w:rPr>
          <w:rFonts w:eastAsia="Times New Roman" w:cs="Arial"/>
          <w:color w:val="212121"/>
          <w:szCs w:val="20"/>
          <w:lang w:eastAsia="en-GB"/>
        </w:rPr>
        <w:t>:</w:t>
      </w:r>
    </w:p>
    <w:p w14:paraId="6740F6F9" w14:textId="676D613F" w:rsidR="009474F0" w:rsidRDefault="009474F0" w:rsidP="00506A69">
      <w:pPr>
        <w:shd w:val="clear" w:color="auto" w:fill="FFFFFF"/>
        <w:spacing w:after="0" w:line="240" w:lineRule="auto"/>
        <w:jc w:val="both"/>
        <w:rPr>
          <w:rFonts w:eastAsia="Times New Roman" w:cs="Arial"/>
          <w:color w:val="212121"/>
          <w:szCs w:val="20"/>
          <w:lang w:eastAsia="en-GB"/>
        </w:rPr>
      </w:pPr>
    </w:p>
    <w:p w14:paraId="346472EB" w14:textId="06C60EB0" w:rsidR="00DE35A6" w:rsidRDefault="00793FE5" w:rsidP="00976C02">
      <w:pPr>
        <w:pStyle w:val="ListParagraph"/>
        <w:numPr>
          <w:ilvl w:val="0"/>
          <w:numId w:val="10"/>
        </w:numPr>
        <w:shd w:val="clear" w:color="auto" w:fill="FFFFFF"/>
        <w:spacing w:after="0" w:line="240" w:lineRule="auto"/>
        <w:jc w:val="both"/>
        <w:rPr>
          <w:rFonts w:eastAsia="Times New Roman" w:cs="Arial"/>
          <w:color w:val="212121"/>
          <w:szCs w:val="20"/>
          <w:lang w:eastAsia="en-GB"/>
        </w:rPr>
      </w:pPr>
      <w:r>
        <w:rPr>
          <w:rFonts w:eastAsia="Times New Roman" w:cs="Arial"/>
          <w:b/>
          <w:color w:val="212121"/>
          <w:szCs w:val="20"/>
          <w:lang w:eastAsia="en-GB"/>
        </w:rPr>
        <w:t>P</w:t>
      </w:r>
      <w:r w:rsidR="00976C02" w:rsidRPr="00976C02">
        <w:rPr>
          <w:rFonts w:eastAsia="Times New Roman" w:cs="Arial"/>
          <w:b/>
          <w:color w:val="212121"/>
          <w:szCs w:val="20"/>
          <w:lang w:eastAsia="en-GB"/>
        </w:rPr>
        <w:t>reparation phase</w:t>
      </w:r>
      <w:r>
        <w:rPr>
          <w:rFonts w:eastAsia="Times New Roman" w:cs="Arial"/>
          <w:color w:val="212121"/>
          <w:szCs w:val="20"/>
          <w:lang w:eastAsia="en-GB"/>
        </w:rPr>
        <w:t xml:space="preserve">: </w:t>
      </w:r>
      <w:r w:rsidR="006166E5">
        <w:rPr>
          <w:rFonts w:eastAsia="Times New Roman" w:cs="Arial"/>
          <w:color w:val="212121"/>
          <w:szCs w:val="20"/>
          <w:lang w:eastAsia="en-GB"/>
        </w:rPr>
        <w:t>A</w:t>
      </w:r>
      <w:r w:rsidR="009474F0" w:rsidRPr="00793FE5">
        <w:rPr>
          <w:rFonts w:eastAsia="Times New Roman" w:cs="Arial"/>
          <w:color w:val="212121"/>
          <w:szCs w:val="20"/>
          <w:lang w:eastAsia="en-GB"/>
        </w:rPr>
        <w:t xml:space="preserve"> network of national and international </w:t>
      </w:r>
      <w:r w:rsidR="00E42E7A" w:rsidRPr="00793FE5">
        <w:rPr>
          <w:rFonts w:eastAsia="Times New Roman" w:cs="Arial"/>
          <w:color w:val="212121"/>
          <w:szCs w:val="20"/>
          <w:lang w:eastAsia="en-GB"/>
        </w:rPr>
        <w:t>researchers</w:t>
      </w:r>
      <w:r w:rsidR="003949E6" w:rsidRPr="00793FE5">
        <w:rPr>
          <w:rFonts w:eastAsia="Times New Roman" w:cs="Arial"/>
          <w:color w:val="212121"/>
          <w:szCs w:val="20"/>
          <w:lang w:eastAsia="en-GB"/>
        </w:rPr>
        <w:t xml:space="preserve"> is set up, a handbook which defines common targeted living standards and criteria for establishing national reference budgets is produced, and a </w:t>
      </w:r>
      <w:r w:rsidR="00CB708A" w:rsidRPr="00793FE5">
        <w:rPr>
          <w:rFonts w:eastAsia="Times New Roman" w:cs="Arial"/>
          <w:color w:val="212121"/>
          <w:szCs w:val="20"/>
          <w:lang w:eastAsia="en-GB"/>
        </w:rPr>
        <w:t>harmonized</w:t>
      </w:r>
      <w:r w:rsidR="003949E6" w:rsidRPr="00793FE5">
        <w:rPr>
          <w:rFonts w:eastAsia="Times New Roman" w:cs="Arial"/>
          <w:color w:val="212121"/>
          <w:szCs w:val="20"/>
          <w:lang w:eastAsia="en-GB"/>
        </w:rPr>
        <w:t xml:space="preserve"> data file for filing all country</w:t>
      </w:r>
      <w:r w:rsidR="003949E6">
        <w:rPr>
          <w:rFonts w:eastAsia="Times New Roman" w:cs="Arial"/>
          <w:color w:val="212121"/>
          <w:szCs w:val="20"/>
          <w:lang w:eastAsia="en-GB"/>
        </w:rPr>
        <w:t xml:space="preserve"> information combined is developed. </w:t>
      </w:r>
    </w:p>
    <w:p w14:paraId="6DA60C73" w14:textId="77777777" w:rsidR="000F3443" w:rsidRDefault="000F3443" w:rsidP="000F3443">
      <w:pPr>
        <w:pStyle w:val="ListParagraph"/>
        <w:shd w:val="clear" w:color="auto" w:fill="FFFFFF"/>
        <w:spacing w:after="0" w:line="240" w:lineRule="auto"/>
        <w:jc w:val="both"/>
        <w:rPr>
          <w:rFonts w:eastAsia="Times New Roman" w:cs="Arial"/>
          <w:color w:val="212121"/>
          <w:szCs w:val="20"/>
          <w:lang w:eastAsia="en-GB"/>
        </w:rPr>
      </w:pPr>
    </w:p>
    <w:p w14:paraId="12303588" w14:textId="40EEF991" w:rsidR="003949E6" w:rsidRDefault="00793FE5" w:rsidP="00976C02">
      <w:pPr>
        <w:pStyle w:val="ListParagraph"/>
        <w:numPr>
          <w:ilvl w:val="0"/>
          <w:numId w:val="10"/>
        </w:numPr>
        <w:shd w:val="clear" w:color="auto" w:fill="FFFFFF"/>
        <w:spacing w:after="0" w:line="240" w:lineRule="auto"/>
        <w:jc w:val="both"/>
        <w:rPr>
          <w:rFonts w:eastAsia="Times New Roman" w:cs="Arial"/>
          <w:color w:val="212121"/>
          <w:szCs w:val="20"/>
          <w:lang w:eastAsia="en-GB"/>
        </w:rPr>
      </w:pPr>
      <w:r>
        <w:rPr>
          <w:rFonts w:eastAsia="Times New Roman" w:cs="Arial"/>
          <w:b/>
          <w:color w:val="212121"/>
          <w:szCs w:val="20"/>
          <w:lang w:eastAsia="en-GB"/>
        </w:rPr>
        <w:t>O</w:t>
      </w:r>
      <w:r w:rsidR="00913F46" w:rsidRPr="00913F46">
        <w:rPr>
          <w:rFonts w:eastAsia="Times New Roman" w:cs="Arial"/>
          <w:b/>
          <w:color w:val="212121"/>
          <w:szCs w:val="20"/>
          <w:lang w:eastAsia="en-GB"/>
        </w:rPr>
        <w:t>rientation phase</w:t>
      </w:r>
      <w:r>
        <w:rPr>
          <w:rFonts w:eastAsia="Times New Roman" w:cs="Arial"/>
          <w:color w:val="212121"/>
          <w:szCs w:val="20"/>
          <w:lang w:eastAsia="en-GB"/>
        </w:rPr>
        <w:t>:</w:t>
      </w:r>
      <w:r w:rsidR="00913F46">
        <w:rPr>
          <w:rFonts w:eastAsia="Times New Roman" w:cs="Arial"/>
          <w:color w:val="212121"/>
          <w:szCs w:val="20"/>
          <w:lang w:eastAsia="en-GB"/>
        </w:rPr>
        <w:t xml:space="preserve"> </w:t>
      </w:r>
      <w:r w:rsidR="006166E5">
        <w:rPr>
          <w:rFonts w:eastAsia="Times New Roman" w:cs="Arial"/>
          <w:color w:val="212121"/>
          <w:szCs w:val="20"/>
          <w:lang w:eastAsia="en-GB"/>
        </w:rPr>
        <w:t>T</w:t>
      </w:r>
      <w:r w:rsidR="00E42E7A">
        <w:rPr>
          <w:rFonts w:eastAsia="Times New Roman" w:cs="Arial"/>
          <w:color w:val="212121"/>
          <w:szCs w:val="20"/>
          <w:lang w:eastAsia="en-GB"/>
        </w:rPr>
        <w:t>he r</w:t>
      </w:r>
      <w:r w:rsidR="00913F46">
        <w:rPr>
          <w:rFonts w:eastAsia="Times New Roman" w:cs="Arial"/>
          <w:color w:val="212121"/>
          <w:szCs w:val="20"/>
          <w:lang w:eastAsia="en-GB"/>
        </w:rPr>
        <w:t xml:space="preserve">esearch teams collect information </w:t>
      </w:r>
      <w:r>
        <w:rPr>
          <w:rFonts w:eastAsia="Times New Roman" w:cs="Arial"/>
          <w:color w:val="212121"/>
          <w:szCs w:val="20"/>
          <w:lang w:eastAsia="en-GB"/>
        </w:rPr>
        <w:t>within different</w:t>
      </w:r>
      <w:r w:rsidR="00913F46">
        <w:rPr>
          <w:rFonts w:eastAsia="Times New Roman" w:cs="Arial"/>
          <w:color w:val="212121"/>
          <w:szCs w:val="20"/>
          <w:lang w:eastAsia="en-GB"/>
        </w:rPr>
        <w:t xml:space="preserve"> </w:t>
      </w:r>
      <w:r w:rsidR="00D20CC0">
        <w:rPr>
          <w:rFonts w:eastAsia="Times New Roman" w:cs="Arial"/>
          <w:color w:val="212121"/>
          <w:szCs w:val="20"/>
          <w:lang w:eastAsia="en-GB"/>
        </w:rPr>
        <w:t xml:space="preserve">local contexts on institutional, cultural, climatological and economic factors which might influence the </w:t>
      </w:r>
      <w:r>
        <w:rPr>
          <w:rFonts w:eastAsia="Times New Roman" w:cs="Arial"/>
          <w:color w:val="212121"/>
          <w:szCs w:val="20"/>
          <w:lang w:eastAsia="en-GB"/>
        </w:rPr>
        <w:t>availability</w:t>
      </w:r>
      <w:r w:rsidR="00D20CC0">
        <w:rPr>
          <w:rFonts w:eastAsia="Times New Roman" w:cs="Arial"/>
          <w:color w:val="212121"/>
          <w:szCs w:val="20"/>
          <w:lang w:eastAsia="en-GB"/>
        </w:rPr>
        <w:t xml:space="preserve"> and pricing of products </w:t>
      </w:r>
      <w:r w:rsidR="00502742">
        <w:rPr>
          <w:rFonts w:eastAsia="Times New Roman" w:cs="Arial"/>
          <w:color w:val="212121"/>
          <w:szCs w:val="20"/>
          <w:lang w:eastAsia="en-GB"/>
        </w:rPr>
        <w:t xml:space="preserve">which are considered </w:t>
      </w:r>
      <w:r w:rsidR="00D20CC0">
        <w:rPr>
          <w:rFonts w:eastAsia="Times New Roman" w:cs="Arial"/>
          <w:color w:val="212121"/>
          <w:szCs w:val="20"/>
          <w:lang w:eastAsia="en-GB"/>
        </w:rPr>
        <w:t xml:space="preserve">for </w:t>
      </w:r>
      <w:r w:rsidR="00502742">
        <w:rPr>
          <w:rFonts w:eastAsia="Times New Roman" w:cs="Arial"/>
          <w:color w:val="212121"/>
          <w:szCs w:val="20"/>
          <w:lang w:eastAsia="en-GB"/>
        </w:rPr>
        <w:t xml:space="preserve">inclusion in </w:t>
      </w:r>
      <w:r w:rsidR="00D20CC0">
        <w:rPr>
          <w:rFonts w:eastAsia="Times New Roman" w:cs="Arial"/>
          <w:color w:val="212121"/>
          <w:szCs w:val="20"/>
          <w:lang w:eastAsia="en-GB"/>
        </w:rPr>
        <w:t xml:space="preserve">the </w:t>
      </w:r>
      <w:r w:rsidR="00D20CC0" w:rsidRPr="00502742">
        <w:rPr>
          <w:rFonts w:eastAsia="Times New Roman" w:cs="Arial"/>
          <w:color w:val="212121"/>
          <w:szCs w:val="20"/>
          <w:lang w:eastAsia="en-GB"/>
        </w:rPr>
        <w:t xml:space="preserve">reference basket </w:t>
      </w:r>
      <w:r w:rsidR="00502742">
        <w:rPr>
          <w:rFonts w:eastAsia="Times New Roman" w:cs="Arial"/>
          <w:color w:val="212121"/>
          <w:szCs w:val="20"/>
          <w:lang w:eastAsia="en-GB"/>
        </w:rPr>
        <w:t>(</w:t>
      </w:r>
      <w:r w:rsidR="00502742" w:rsidRPr="00502742">
        <w:rPr>
          <w:rFonts w:eastAsia="Times New Roman" w:cs="Arial"/>
          <w:color w:val="212121"/>
          <w:szCs w:val="20"/>
          <w:lang w:eastAsia="en-GB"/>
        </w:rPr>
        <w:t>in accordance with</w:t>
      </w:r>
      <w:r w:rsidR="00D20CC0" w:rsidRPr="00502742">
        <w:rPr>
          <w:rFonts w:eastAsia="Times New Roman" w:cs="Arial"/>
          <w:color w:val="212121"/>
          <w:szCs w:val="20"/>
          <w:lang w:eastAsia="en-GB"/>
        </w:rPr>
        <w:t xml:space="preserve"> national guidelines, scientific papers and focus group discussions</w:t>
      </w:r>
      <w:r w:rsidR="00502742">
        <w:rPr>
          <w:rFonts w:eastAsia="Times New Roman" w:cs="Arial"/>
          <w:color w:val="212121"/>
          <w:szCs w:val="20"/>
          <w:lang w:eastAsia="en-GB"/>
        </w:rPr>
        <w:t>)</w:t>
      </w:r>
      <w:r w:rsidR="00D20CC0" w:rsidRPr="00502742">
        <w:rPr>
          <w:rFonts w:eastAsia="Times New Roman" w:cs="Arial"/>
          <w:color w:val="212121"/>
          <w:szCs w:val="20"/>
          <w:lang w:eastAsia="en-GB"/>
        </w:rPr>
        <w:t>.</w:t>
      </w:r>
      <w:r w:rsidR="00D20CC0">
        <w:rPr>
          <w:rFonts w:eastAsia="Times New Roman" w:cs="Arial"/>
          <w:color w:val="212121"/>
          <w:szCs w:val="20"/>
          <w:lang w:eastAsia="en-GB"/>
        </w:rPr>
        <w:t xml:space="preserve"> Afterwards, </w:t>
      </w:r>
      <w:r w:rsidR="001939C1">
        <w:rPr>
          <w:rFonts w:eastAsia="Times New Roman" w:cs="Arial"/>
          <w:color w:val="212121"/>
          <w:szCs w:val="20"/>
          <w:lang w:eastAsia="en-GB"/>
        </w:rPr>
        <w:t xml:space="preserve">the teams produce </w:t>
      </w:r>
      <w:r w:rsidR="00D20CC0">
        <w:rPr>
          <w:rFonts w:eastAsia="Times New Roman" w:cs="Arial"/>
          <w:color w:val="212121"/>
          <w:szCs w:val="20"/>
          <w:lang w:eastAsia="en-GB"/>
        </w:rPr>
        <w:t xml:space="preserve">a </w:t>
      </w:r>
      <w:r w:rsidR="001939C1">
        <w:rPr>
          <w:rFonts w:eastAsia="Times New Roman" w:cs="Arial"/>
          <w:color w:val="212121"/>
          <w:szCs w:val="20"/>
          <w:lang w:eastAsia="en-GB"/>
        </w:rPr>
        <w:t xml:space="preserve">country report and a </w:t>
      </w:r>
      <w:r w:rsidR="00D20CC0">
        <w:rPr>
          <w:rFonts w:eastAsia="Times New Roman" w:cs="Arial"/>
          <w:color w:val="212121"/>
          <w:szCs w:val="20"/>
          <w:lang w:eastAsia="en-GB"/>
        </w:rPr>
        <w:t>first draft list of social roles, related activities a</w:t>
      </w:r>
      <w:r w:rsidR="001939C1">
        <w:rPr>
          <w:rFonts w:eastAsia="Times New Roman" w:cs="Arial"/>
          <w:color w:val="212121"/>
          <w:szCs w:val="20"/>
          <w:lang w:eastAsia="en-GB"/>
        </w:rPr>
        <w:t>nd goods and services which should be covered.</w:t>
      </w:r>
    </w:p>
    <w:p w14:paraId="0FECBAD2" w14:textId="77777777" w:rsidR="000F3443" w:rsidRPr="000F3443" w:rsidRDefault="000F3443" w:rsidP="000F3443">
      <w:pPr>
        <w:pStyle w:val="ListParagraph"/>
        <w:rPr>
          <w:rFonts w:eastAsia="Times New Roman" w:cs="Arial"/>
          <w:color w:val="212121"/>
          <w:szCs w:val="20"/>
          <w:lang w:eastAsia="en-GB"/>
        </w:rPr>
      </w:pPr>
    </w:p>
    <w:p w14:paraId="3BAB4234" w14:textId="2670C906" w:rsidR="0057042F" w:rsidRDefault="001939C1" w:rsidP="00976C02">
      <w:pPr>
        <w:pStyle w:val="ListParagraph"/>
        <w:numPr>
          <w:ilvl w:val="0"/>
          <w:numId w:val="10"/>
        </w:numPr>
        <w:shd w:val="clear" w:color="auto" w:fill="FFFFFF"/>
        <w:spacing w:after="0" w:line="240" w:lineRule="auto"/>
        <w:jc w:val="both"/>
        <w:rPr>
          <w:rFonts w:eastAsia="Times New Roman" w:cs="Arial"/>
          <w:color w:val="212121"/>
          <w:szCs w:val="20"/>
          <w:lang w:eastAsia="en-GB"/>
        </w:rPr>
      </w:pPr>
      <w:r>
        <w:rPr>
          <w:rFonts w:eastAsia="Times New Roman" w:cs="Arial"/>
          <w:b/>
          <w:color w:val="212121"/>
          <w:szCs w:val="20"/>
          <w:lang w:eastAsia="en-GB"/>
        </w:rPr>
        <w:t>A</w:t>
      </w:r>
      <w:r w:rsidR="00305331" w:rsidRPr="00305331">
        <w:rPr>
          <w:rFonts w:eastAsia="Times New Roman" w:cs="Arial"/>
          <w:b/>
          <w:color w:val="212121"/>
          <w:szCs w:val="20"/>
          <w:lang w:eastAsia="en-GB"/>
        </w:rPr>
        <w:t>rgumentation phase</w:t>
      </w:r>
      <w:r>
        <w:rPr>
          <w:rFonts w:eastAsia="Times New Roman" w:cs="Arial"/>
          <w:color w:val="212121"/>
          <w:szCs w:val="20"/>
          <w:lang w:eastAsia="en-GB"/>
        </w:rPr>
        <w:t>:</w:t>
      </w:r>
      <w:r w:rsidR="00305331">
        <w:rPr>
          <w:rFonts w:eastAsia="Times New Roman" w:cs="Arial"/>
          <w:color w:val="212121"/>
          <w:szCs w:val="20"/>
          <w:lang w:eastAsia="en-GB"/>
        </w:rPr>
        <w:t xml:space="preserve"> </w:t>
      </w:r>
      <w:r>
        <w:rPr>
          <w:rFonts w:eastAsia="Times New Roman" w:cs="Arial"/>
          <w:color w:val="212121"/>
          <w:szCs w:val="20"/>
          <w:lang w:eastAsia="en-GB"/>
        </w:rPr>
        <w:t>N</w:t>
      </w:r>
      <w:r w:rsidR="00E42E7A">
        <w:rPr>
          <w:rFonts w:eastAsia="Times New Roman" w:cs="Arial"/>
          <w:color w:val="212121"/>
          <w:szCs w:val="20"/>
          <w:lang w:eastAsia="en-GB"/>
        </w:rPr>
        <w:t>ational research teams finalise the list of products</w:t>
      </w:r>
      <w:r w:rsidR="0098477F">
        <w:rPr>
          <w:rFonts w:eastAsia="Times New Roman" w:cs="Arial"/>
          <w:color w:val="212121"/>
          <w:szCs w:val="20"/>
          <w:lang w:eastAsia="en-GB"/>
        </w:rPr>
        <w:t xml:space="preserve"> for the reference budget</w:t>
      </w:r>
      <w:r w:rsidR="00E42E7A">
        <w:rPr>
          <w:rFonts w:eastAsia="Times New Roman" w:cs="Arial"/>
          <w:color w:val="212121"/>
          <w:szCs w:val="20"/>
          <w:lang w:eastAsia="en-GB"/>
        </w:rPr>
        <w:t xml:space="preserve"> and organi</w:t>
      </w:r>
      <w:r>
        <w:rPr>
          <w:rFonts w:eastAsia="Times New Roman" w:cs="Arial"/>
          <w:color w:val="212121"/>
          <w:szCs w:val="20"/>
          <w:lang w:eastAsia="en-GB"/>
        </w:rPr>
        <w:t>se them in the harmonis</w:t>
      </w:r>
      <w:r w:rsidR="00E42E7A">
        <w:rPr>
          <w:rFonts w:eastAsia="Times New Roman" w:cs="Arial"/>
          <w:color w:val="212121"/>
          <w:szCs w:val="20"/>
          <w:lang w:eastAsia="en-GB"/>
        </w:rPr>
        <w:t xml:space="preserve">ed data file, </w:t>
      </w:r>
      <w:r w:rsidR="006166E5">
        <w:rPr>
          <w:rFonts w:eastAsia="Times New Roman" w:cs="Arial"/>
          <w:color w:val="212121"/>
          <w:szCs w:val="20"/>
          <w:lang w:eastAsia="en-GB"/>
        </w:rPr>
        <w:t xml:space="preserve">evaluating the arguments for including or excluding </w:t>
      </w:r>
      <w:r w:rsidR="00E42E7A">
        <w:rPr>
          <w:rFonts w:eastAsia="Times New Roman" w:cs="Arial"/>
          <w:color w:val="212121"/>
          <w:szCs w:val="20"/>
          <w:lang w:eastAsia="en-GB"/>
        </w:rPr>
        <w:t>certain goods and services</w:t>
      </w:r>
      <w:r w:rsidR="006166E5">
        <w:rPr>
          <w:rFonts w:eastAsia="Times New Roman" w:cs="Arial"/>
          <w:color w:val="212121"/>
          <w:szCs w:val="20"/>
          <w:lang w:eastAsia="en-GB"/>
        </w:rPr>
        <w:t xml:space="preserve"> as well as </w:t>
      </w:r>
      <w:r w:rsidR="0098477F">
        <w:rPr>
          <w:rFonts w:eastAsia="Times New Roman" w:cs="Arial"/>
          <w:color w:val="212121"/>
          <w:szCs w:val="20"/>
          <w:lang w:eastAsia="en-GB"/>
        </w:rPr>
        <w:t>the necessity of goods in the national context</w:t>
      </w:r>
      <w:r w:rsidR="00E42E7A">
        <w:rPr>
          <w:rFonts w:eastAsia="Times New Roman" w:cs="Arial"/>
          <w:color w:val="212121"/>
          <w:szCs w:val="20"/>
          <w:lang w:eastAsia="en-GB"/>
        </w:rPr>
        <w:t xml:space="preserve">. </w:t>
      </w:r>
    </w:p>
    <w:p w14:paraId="35057EA0" w14:textId="77777777" w:rsidR="000F3443" w:rsidRPr="000F3443" w:rsidRDefault="000F3443" w:rsidP="000F3443">
      <w:pPr>
        <w:pStyle w:val="ListParagraph"/>
        <w:rPr>
          <w:rFonts w:eastAsia="Times New Roman" w:cs="Arial"/>
          <w:color w:val="212121"/>
          <w:szCs w:val="20"/>
          <w:lang w:eastAsia="en-GB"/>
        </w:rPr>
      </w:pPr>
    </w:p>
    <w:p w14:paraId="743D70CE" w14:textId="2C51A806" w:rsidR="0098477F" w:rsidRDefault="006166E5" w:rsidP="00976C02">
      <w:pPr>
        <w:pStyle w:val="ListParagraph"/>
        <w:numPr>
          <w:ilvl w:val="0"/>
          <w:numId w:val="10"/>
        </w:numPr>
        <w:shd w:val="clear" w:color="auto" w:fill="FFFFFF"/>
        <w:spacing w:after="0" w:line="240" w:lineRule="auto"/>
        <w:jc w:val="both"/>
        <w:rPr>
          <w:rFonts w:eastAsia="Times New Roman" w:cs="Arial"/>
          <w:color w:val="212121"/>
          <w:szCs w:val="20"/>
          <w:lang w:eastAsia="en-GB"/>
        </w:rPr>
      </w:pPr>
      <w:r>
        <w:rPr>
          <w:rFonts w:eastAsia="Times New Roman" w:cs="Arial"/>
          <w:b/>
          <w:color w:val="212121"/>
          <w:szCs w:val="20"/>
          <w:lang w:eastAsia="en-GB"/>
        </w:rPr>
        <w:t>D</w:t>
      </w:r>
      <w:r w:rsidR="008678DD" w:rsidRPr="008678DD">
        <w:rPr>
          <w:rFonts w:eastAsia="Times New Roman" w:cs="Arial"/>
          <w:b/>
          <w:color w:val="212121"/>
          <w:szCs w:val="20"/>
          <w:lang w:eastAsia="en-GB"/>
        </w:rPr>
        <w:t>eliberation and pricing phase</w:t>
      </w:r>
      <w:r>
        <w:rPr>
          <w:rFonts w:eastAsia="Times New Roman" w:cs="Arial"/>
          <w:color w:val="212121"/>
          <w:szCs w:val="20"/>
          <w:lang w:eastAsia="en-GB"/>
        </w:rPr>
        <w:t>:</w:t>
      </w:r>
      <w:r w:rsidR="008678DD">
        <w:rPr>
          <w:rFonts w:eastAsia="Times New Roman" w:cs="Arial"/>
          <w:color w:val="212121"/>
          <w:szCs w:val="20"/>
          <w:lang w:eastAsia="en-GB"/>
        </w:rPr>
        <w:t xml:space="preserve"> </w:t>
      </w:r>
      <w:r w:rsidR="00F51CEB">
        <w:rPr>
          <w:rFonts w:eastAsia="Times New Roman" w:cs="Arial"/>
          <w:color w:val="212121"/>
          <w:szCs w:val="20"/>
          <w:lang w:eastAsia="en-GB"/>
        </w:rPr>
        <w:t xml:space="preserve">A central team of research coordinators looks for inconsistencies between the different national reference budget lists and </w:t>
      </w:r>
      <w:r>
        <w:rPr>
          <w:rFonts w:eastAsia="Times New Roman" w:cs="Arial"/>
          <w:color w:val="212121"/>
          <w:szCs w:val="20"/>
          <w:lang w:eastAsia="en-GB"/>
        </w:rPr>
        <w:t>ensures</w:t>
      </w:r>
      <w:r w:rsidR="00F51CEB">
        <w:rPr>
          <w:rFonts w:eastAsia="Times New Roman" w:cs="Arial"/>
          <w:color w:val="212121"/>
          <w:szCs w:val="20"/>
          <w:lang w:eastAsia="en-GB"/>
        </w:rPr>
        <w:t xml:space="preserve"> that all national researchers adhered to the common procedural rules. </w:t>
      </w:r>
    </w:p>
    <w:p w14:paraId="32B5A591" w14:textId="77777777" w:rsidR="000F3443" w:rsidRPr="000F3443" w:rsidRDefault="000F3443" w:rsidP="000F3443">
      <w:pPr>
        <w:pStyle w:val="ListParagraph"/>
        <w:rPr>
          <w:rFonts w:eastAsia="Times New Roman" w:cs="Arial"/>
          <w:color w:val="212121"/>
          <w:szCs w:val="20"/>
          <w:lang w:eastAsia="en-GB"/>
        </w:rPr>
      </w:pPr>
    </w:p>
    <w:p w14:paraId="036CE823" w14:textId="317F0ECB" w:rsidR="00F51CEB" w:rsidRDefault="006166E5" w:rsidP="00976C02">
      <w:pPr>
        <w:pStyle w:val="ListParagraph"/>
        <w:numPr>
          <w:ilvl w:val="0"/>
          <w:numId w:val="10"/>
        </w:numPr>
        <w:shd w:val="clear" w:color="auto" w:fill="FFFFFF"/>
        <w:spacing w:after="0" w:line="240" w:lineRule="auto"/>
        <w:jc w:val="both"/>
        <w:rPr>
          <w:rFonts w:eastAsia="Times New Roman" w:cs="Arial"/>
          <w:color w:val="212121"/>
          <w:szCs w:val="20"/>
          <w:lang w:eastAsia="en-GB"/>
        </w:rPr>
      </w:pPr>
      <w:r>
        <w:rPr>
          <w:rFonts w:eastAsia="Times New Roman" w:cs="Arial"/>
          <w:b/>
          <w:color w:val="212121"/>
          <w:szCs w:val="20"/>
          <w:lang w:eastAsia="en-GB"/>
        </w:rPr>
        <w:t>A</w:t>
      </w:r>
      <w:r w:rsidR="00F51CEB" w:rsidRPr="00F51CEB">
        <w:rPr>
          <w:rFonts w:eastAsia="Times New Roman" w:cs="Arial"/>
          <w:b/>
          <w:color w:val="212121"/>
          <w:szCs w:val="20"/>
          <w:lang w:eastAsia="en-GB"/>
        </w:rPr>
        <w:t>rbitration phase</w:t>
      </w:r>
      <w:r w:rsidRPr="006F6C1D">
        <w:rPr>
          <w:rFonts w:eastAsia="Times New Roman" w:cs="Arial"/>
          <w:color w:val="212121"/>
          <w:szCs w:val="20"/>
          <w:lang w:eastAsia="en-GB"/>
        </w:rPr>
        <w:t>:</w:t>
      </w:r>
      <w:r w:rsidR="00F51CEB">
        <w:rPr>
          <w:rFonts w:eastAsia="Times New Roman" w:cs="Arial"/>
          <w:color w:val="212121"/>
          <w:szCs w:val="20"/>
          <w:lang w:eastAsia="en-GB"/>
        </w:rPr>
        <w:t xml:space="preserve"> </w:t>
      </w:r>
      <w:r w:rsidR="006F6C1D">
        <w:rPr>
          <w:rFonts w:eastAsia="Times New Roman" w:cs="Arial"/>
          <w:color w:val="212121"/>
          <w:szCs w:val="20"/>
          <w:lang w:eastAsia="en-GB"/>
        </w:rPr>
        <w:t>N</w:t>
      </w:r>
      <w:r w:rsidR="00353E31">
        <w:rPr>
          <w:rFonts w:eastAsia="Times New Roman" w:cs="Arial"/>
          <w:color w:val="212121"/>
          <w:szCs w:val="20"/>
          <w:lang w:eastAsia="en-GB"/>
        </w:rPr>
        <w:t xml:space="preserve">ational researchers react to the comments made by the central research coordinators and, where necessary, adapt the files and country reports. </w:t>
      </w:r>
      <w:r w:rsidR="00663EF9">
        <w:rPr>
          <w:rFonts w:eastAsia="Times New Roman" w:cs="Arial"/>
          <w:color w:val="212121"/>
          <w:szCs w:val="20"/>
          <w:lang w:eastAsia="en-GB"/>
        </w:rPr>
        <w:t>At the end</w:t>
      </w:r>
      <w:r w:rsidR="00CE6E3F">
        <w:rPr>
          <w:rFonts w:eastAsia="Times New Roman" w:cs="Arial"/>
          <w:color w:val="212121"/>
          <w:szCs w:val="20"/>
          <w:lang w:eastAsia="en-GB"/>
        </w:rPr>
        <w:t xml:space="preserve"> of this phase, </w:t>
      </w:r>
      <w:r>
        <w:rPr>
          <w:rFonts w:eastAsia="Times New Roman" w:cs="Arial"/>
          <w:color w:val="212121"/>
          <w:szCs w:val="20"/>
          <w:lang w:eastAsia="en-GB"/>
        </w:rPr>
        <w:t xml:space="preserve">a </w:t>
      </w:r>
      <w:r w:rsidR="00CE6E3F">
        <w:rPr>
          <w:rFonts w:eastAsia="Times New Roman" w:cs="Arial"/>
          <w:color w:val="212121"/>
          <w:szCs w:val="20"/>
          <w:lang w:eastAsia="en-GB"/>
        </w:rPr>
        <w:t xml:space="preserve">final reference budget with a detailed list of priced goods for all participating countries is </w:t>
      </w:r>
      <w:r>
        <w:rPr>
          <w:rFonts w:eastAsia="Times New Roman" w:cs="Arial"/>
          <w:color w:val="212121"/>
          <w:szCs w:val="20"/>
          <w:lang w:eastAsia="en-GB"/>
        </w:rPr>
        <w:t>set up</w:t>
      </w:r>
      <w:r w:rsidR="00CE6E3F">
        <w:rPr>
          <w:rFonts w:eastAsia="Times New Roman" w:cs="Arial"/>
          <w:color w:val="212121"/>
          <w:szCs w:val="20"/>
          <w:lang w:eastAsia="en-GB"/>
        </w:rPr>
        <w:t>, as well as a final country repo</w:t>
      </w:r>
      <w:r w:rsidR="00EE481A">
        <w:rPr>
          <w:rFonts w:eastAsia="Times New Roman" w:cs="Arial"/>
          <w:color w:val="212121"/>
          <w:szCs w:val="20"/>
          <w:lang w:eastAsia="en-GB"/>
        </w:rPr>
        <w:t>r</w:t>
      </w:r>
      <w:r w:rsidR="00CE6E3F">
        <w:rPr>
          <w:rFonts w:eastAsia="Times New Roman" w:cs="Arial"/>
          <w:color w:val="212121"/>
          <w:szCs w:val="20"/>
          <w:lang w:eastAsia="en-GB"/>
        </w:rPr>
        <w:t xml:space="preserve">t and </w:t>
      </w:r>
      <w:r>
        <w:rPr>
          <w:rFonts w:eastAsia="Times New Roman" w:cs="Arial"/>
          <w:color w:val="212121"/>
          <w:szCs w:val="20"/>
          <w:lang w:eastAsia="en-GB"/>
        </w:rPr>
        <w:t xml:space="preserve">a </w:t>
      </w:r>
      <w:r w:rsidR="00CE6E3F">
        <w:rPr>
          <w:rFonts w:eastAsia="Times New Roman" w:cs="Arial"/>
          <w:color w:val="212121"/>
          <w:szCs w:val="20"/>
          <w:lang w:eastAsia="en-GB"/>
        </w:rPr>
        <w:t xml:space="preserve">comparative report which </w:t>
      </w:r>
      <w:r w:rsidR="006F6C1D">
        <w:rPr>
          <w:rFonts w:eastAsia="Times New Roman" w:cs="Arial"/>
          <w:color w:val="212121"/>
          <w:szCs w:val="20"/>
          <w:lang w:eastAsia="en-GB"/>
        </w:rPr>
        <w:t xml:space="preserve">draws on the </w:t>
      </w:r>
      <w:r w:rsidR="00CE6E3F">
        <w:rPr>
          <w:rFonts w:eastAsia="Times New Roman" w:cs="Arial"/>
          <w:color w:val="212121"/>
          <w:szCs w:val="20"/>
          <w:lang w:eastAsia="en-GB"/>
        </w:rPr>
        <w:t xml:space="preserve">results of the </w:t>
      </w:r>
      <w:r w:rsidR="006F6C1D">
        <w:rPr>
          <w:rFonts w:eastAsia="Times New Roman" w:cs="Arial"/>
          <w:color w:val="212121"/>
          <w:szCs w:val="20"/>
          <w:lang w:eastAsia="en-GB"/>
        </w:rPr>
        <w:t xml:space="preserve">individual </w:t>
      </w:r>
      <w:r w:rsidR="00CE6E3F">
        <w:rPr>
          <w:rFonts w:eastAsia="Times New Roman" w:cs="Arial"/>
          <w:color w:val="212121"/>
          <w:szCs w:val="20"/>
          <w:lang w:eastAsia="en-GB"/>
        </w:rPr>
        <w:t xml:space="preserve">country reports. </w:t>
      </w:r>
    </w:p>
    <w:p w14:paraId="7ECD940B" w14:textId="77777777" w:rsidR="000F3443" w:rsidRPr="000F3443" w:rsidRDefault="000F3443" w:rsidP="000F3443">
      <w:pPr>
        <w:pStyle w:val="ListParagraph"/>
        <w:rPr>
          <w:rFonts w:eastAsia="Times New Roman" w:cs="Arial"/>
          <w:color w:val="212121"/>
          <w:szCs w:val="20"/>
          <w:lang w:eastAsia="en-GB"/>
        </w:rPr>
      </w:pPr>
    </w:p>
    <w:p w14:paraId="472A6CD4" w14:textId="1EBEB6F2" w:rsidR="00E65743" w:rsidRPr="004538C2" w:rsidRDefault="006F6C1D" w:rsidP="00C35444">
      <w:pPr>
        <w:pStyle w:val="ListParagraph"/>
        <w:numPr>
          <w:ilvl w:val="0"/>
          <w:numId w:val="10"/>
        </w:numPr>
        <w:shd w:val="clear" w:color="auto" w:fill="FFFFFF"/>
        <w:spacing w:after="0" w:line="240" w:lineRule="auto"/>
        <w:jc w:val="both"/>
        <w:rPr>
          <w:rFonts w:eastAsia="Times New Roman" w:cs="Arial"/>
          <w:color w:val="212121"/>
          <w:szCs w:val="20"/>
          <w:lang w:eastAsia="en-GB"/>
        </w:rPr>
      </w:pPr>
      <w:r>
        <w:rPr>
          <w:rFonts w:eastAsia="Times New Roman" w:cs="Arial"/>
          <w:b/>
          <w:color w:val="212121"/>
          <w:szCs w:val="20"/>
          <w:lang w:eastAsia="en-GB"/>
        </w:rPr>
        <w:t>D</w:t>
      </w:r>
      <w:r w:rsidRPr="00F01BCF">
        <w:rPr>
          <w:rFonts w:eastAsia="Times New Roman" w:cs="Arial"/>
          <w:b/>
          <w:color w:val="212121"/>
          <w:szCs w:val="20"/>
          <w:lang w:eastAsia="en-GB"/>
        </w:rPr>
        <w:t>issemination and discussion phase</w:t>
      </w:r>
      <w:r w:rsidRPr="006F6C1D">
        <w:rPr>
          <w:rFonts w:eastAsia="Times New Roman" w:cs="Arial"/>
          <w:color w:val="212121"/>
          <w:szCs w:val="20"/>
          <w:lang w:eastAsia="en-GB"/>
        </w:rPr>
        <w:t>:</w:t>
      </w:r>
      <w:r>
        <w:rPr>
          <w:rFonts w:eastAsia="Times New Roman" w:cs="Arial"/>
          <w:color w:val="212121"/>
          <w:szCs w:val="20"/>
          <w:lang w:eastAsia="en-GB"/>
        </w:rPr>
        <w:t xml:space="preserve"> T</w:t>
      </w:r>
      <w:r w:rsidR="00F01BCF">
        <w:rPr>
          <w:rFonts w:eastAsia="Times New Roman" w:cs="Arial"/>
          <w:color w:val="212121"/>
          <w:szCs w:val="20"/>
          <w:lang w:eastAsia="en-GB"/>
        </w:rPr>
        <w:t>he reports and findings are disseminated</w:t>
      </w:r>
      <w:r>
        <w:rPr>
          <w:rFonts w:eastAsia="Times New Roman" w:cs="Arial"/>
          <w:color w:val="212121"/>
          <w:szCs w:val="20"/>
          <w:lang w:eastAsia="en-GB"/>
        </w:rPr>
        <w:t xml:space="preserve"> nationally and internationally.</w:t>
      </w:r>
    </w:p>
    <w:p w14:paraId="5A96FDFC" w14:textId="77777777" w:rsidR="00F02C6A" w:rsidRPr="00B30D89" w:rsidRDefault="00F02C6A" w:rsidP="00957134">
      <w:pPr>
        <w:pStyle w:val="Heading3"/>
        <w:spacing w:line="240" w:lineRule="auto"/>
        <w:rPr>
          <w:lang w:eastAsia="en-GB"/>
        </w:rPr>
      </w:pPr>
      <w:r w:rsidRPr="00B30D89">
        <w:rPr>
          <w:lang w:eastAsia="en-GB"/>
        </w:rPr>
        <w:t>Key outcomes of the pilot project</w:t>
      </w:r>
    </w:p>
    <w:p w14:paraId="6F1FDE9A" w14:textId="7DA9C941" w:rsidR="001A7D1F" w:rsidRDefault="00D03F86" w:rsidP="00D03F86">
      <w:pPr>
        <w:autoSpaceDE w:val="0"/>
        <w:autoSpaceDN w:val="0"/>
        <w:adjustRightInd w:val="0"/>
        <w:spacing w:after="0" w:line="240" w:lineRule="auto"/>
        <w:jc w:val="both"/>
        <w:rPr>
          <w:rFonts w:eastAsia="Cambria" w:cs="Arial"/>
          <w:szCs w:val="20"/>
          <w:lang w:eastAsia="en-GB"/>
        </w:rPr>
      </w:pPr>
      <w:r>
        <w:rPr>
          <w:rFonts w:eastAsia="Cambria" w:cs="Arial"/>
          <w:szCs w:val="20"/>
          <w:lang w:eastAsia="en-GB"/>
        </w:rPr>
        <w:t>The k</w:t>
      </w:r>
      <w:r w:rsidR="00852C10" w:rsidRPr="00507900">
        <w:rPr>
          <w:rFonts w:eastAsia="Cambria" w:cs="Arial"/>
          <w:szCs w:val="20"/>
          <w:lang w:eastAsia="en-GB"/>
        </w:rPr>
        <w:t xml:space="preserve">ey outcome </w:t>
      </w:r>
      <w:r>
        <w:rPr>
          <w:rFonts w:eastAsia="Cambria" w:cs="Arial"/>
          <w:szCs w:val="20"/>
          <w:lang w:eastAsia="en-GB"/>
        </w:rPr>
        <w:t xml:space="preserve">of the pilot project </w:t>
      </w:r>
      <w:r w:rsidR="00852C10" w:rsidRPr="00507900">
        <w:rPr>
          <w:rFonts w:eastAsia="Cambria" w:cs="Arial"/>
          <w:szCs w:val="20"/>
          <w:lang w:eastAsia="en-GB"/>
        </w:rPr>
        <w:t xml:space="preserve">is </w:t>
      </w:r>
      <w:r w:rsidRPr="00E37EEF">
        <w:rPr>
          <w:rFonts w:eastAsia="Cambria" w:cs="Arial"/>
          <w:szCs w:val="20"/>
          <w:lang w:eastAsia="en-GB"/>
        </w:rPr>
        <w:t xml:space="preserve">a </w:t>
      </w:r>
      <w:r w:rsidR="00852C10" w:rsidRPr="00E37EEF">
        <w:rPr>
          <w:rFonts w:eastAsia="Cambria" w:cs="Arial"/>
          <w:szCs w:val="20"/>
          <w:lang w:eastAsia="en-GB"/>
        </w:rPr>
        <w:t>common methodology</w:t>
      </w:r>
      <w:r w:rsidR="00111C4B" w:rsidRPr="00507900">
        <w:rPr>
          <w:rFonts w:eastAsia="Cambria" w:cs="Arial"/>
          <w:szCs w:val="20"/>
          <w:lang w:eastAsia="en-GB"/>
        </w:rPr>
        <w:t xml:space="preserve"> that </w:t>
      </w:r>
      <w:r w:rsidR="00852C10" w:rsidRPr="00507900">
        <w:rPr>
          <w:rFonts w:eastAsia="Cambria" w:cs="Arial"/>
          <w:szCs w:val="20"/>
          <w:lang w:eastAsia="en-GB"/>
        </w:rPr>
        <w:t xml:space="preserve">can be used by all </w:t>
      </w:r>
      <w:r w:rsidR="0005310E">
        <w:rPr>
          <w:rFonts w:eastAsia="Cambria" w:cs="Arial"/>
          <w:szCs w:val="20"/>
          <w:lang w:eastAsia="en-GB"/>
        </w:rPr>
        <w:t>M</w:t>
      </w:r>
      <w:r w:rsidR="00852C10" w:rsidRPr="00507900">
        <w:rPr>
          <w:rFonts w:eastAsia="Cambria" w:cs="Arial"/>
          <w:szCs w:val="20"/>
          <w:lang w:eastAsia="en-GB"/>
        </w:rPr>
        <w:t xml:space="preserve">ember </w:t>
      </w:r>
      <w:r w:rsidR="0005310E">
        <w:rPr>
          <w:rFonts w:eastAsia="Cambria" w:cs="Arial"/>
          <w:szCs w:val="20"/>
          <w:lang w:eastAsia="en-GB"/>
        </w:rPr>
        <w:t>S</w:t>
      </w:r>
      <w:r w:rsidR="00852C10" w:rsidRPr="00507900">
        <w:rPr>
          <w:rFonts w:eastAsia="Cambria" w:cs="Arial"/>
          <w:szCs w:val="20"/>
          <w:lang w:eastAsia="en-GB"/>
        </w:rPr>
        <w:t>tates to develop cross-country comparable reference budgets</w:t>
      </w:r>
      <w:r w:rsidR="0005310E">
        <w:rPr>
          <w:rFonts w:eastAsia="Cambria" w:cs="Arial"/>
          <w:szCs w:val="20"/>
          <w:lang w:eastAsia="en-GB"/>
        </w:rPr>
        <w:t>. These provide some</w:t>
      </w:r>
      <w:r w:rsidR="00835DA5">
        <w:rPr>
          <w:rFonts w:eastAsia="Cambria" w:cs="Arial"/>
          <w:szCs w:val="20"/>
          <w:lang w:eastAsia="en-GB"/>
        </w:rPr>
        <w:t xml:space="preserve"> space for adjustment to take </w:t>
      </w:r>
      <w:r w:rsidR="0005310E">
        <w:rPr>
          <w:rFonts w:eastAsia="Cambria" w:cs="Arial"/>
          <w:szCs w:val="20"/>
          <w:lang w:eastAsia="en-GB"/>
        </w:rPr>
        <w:t xml:space="preserve">local </w:t>
      </w:r>
      <w:r w:rsidR="0005310E">
        <w:rPr>
          <w:rFonts w:eastAsia="Cambria" w:cs="Arial"/>
          <w:szCs w:val="20"/>
          <w:lang w:eastAsia="en-GB"/>
        </w:rPr>
        <w:lastRenderedPageBreak/>
        <w:t xml:space="preserve">differences </w:t>
      </w:r>
      <w:r w:rsidR="00835DA5">
        <w:rPr>
          <w:rFonts w:eastAsia="Cambria" w:cs="Arial"/>
          <w:szCs w:val="20"/>
          <w:lang w:eastAsia="en-GB"/>
        </w:rPr>
        <w:t>into account</w:t>
      </w:r>
      <w:r w:rsidR="00487EF9" w:rsidRPr="00507900">
        <w:rPr>
          <w:rFonts w:eastAsia="Cambria" w:cs="Arial"/>
          <w:szCs w:val="20"/>
          <w:lang w:eastAsia="en-GB"/>
        </w:rPr>
        <w:t>, whil</w:t>
      </w:r>
      <w:r w:rsidR="0005310E">
        <w:rPr>
          <w:rFonts w:eastAsia="Cambria" w:cs="Arial"/>
          <w:szCs w:val="20"/>
          <w:lang w:eastAsia="en-GB"/>
        </w:rPr>
        <w:t>st</w:t>
      </w:r>
      <w:r w:rsidR="00487EF9" w:rsidRPr="00507900">
        <w:rPr>
          <w:rFonts w:eastAsia="Cambria" w:cs="Arial"/>
          <w:szCs w:val="20"/>
          <w:lang w:eastAsia="en-GB"/>
        </w:rPr>
        <w:t xml:space="preserve"> at the same time ensuring </w:t>
      </w:r>
      <w:r>
        <w:rPr>
          <w:rFonts w:eastAsia="Cambria" w:cs="Arial"/>
          <w:szCs w:val="20"/>
          <w:lang w:eastAsia="en-GB"/>
        </w:rPr>
        <w:t xml:space="preserve">a </w:t>
      </w:r>
      <w:r w:rsidR="00487EF9" w:rsidRPr="00507900">
        <w:rPr>
          <w:rFonts w:eastAsia="Cambria" w:cs="Arial"/>
          <w:szCs w:val="20"/>
          <w:lang w:eastAsia="en-GB"/>
        </w:rPr>
        <w:t>certain level of acceptability to different stakeholders and robustness to interpretation mistakes</w:t>
      </w:r>
      <w:r w:rsidR="00CA638A">
        <w:rPr>
          <w:rFonts w:eastAsia="Cambria" w:cs="Arial"/>
          <w:szCs w:val="20"/>
          <w:lang w:eastAsia="en-GB"/>
        </w:rPr>
        <w:t xml:space="preserve">. </w:t>
      </w:r>
    </w:p>
    <w:p w14:paraId="3303A0FD" w14:textId="77777777" w:rsidR="003C19D2" w:rsidRDefault="003C19D2" w:rsidP="00D03F86">
      <w:pPr>
        <w:autoSpaceDE w:val="0"/>
        <w:autoSpaceDN w:val="0"/>
        <w:adjustRightInd w:val="0"/>
        <w:spacing w:after="0" w:line="240" w:lineRule="auto"/>
        <w:jc w:val="both"/>
        <w:rPr>
          <w:rFonts w:eastAsia="Cambria" w:cs="Arial"/>
          <w:szCs w:val="20"/>
          <w:lang w:eastAsia="en-GB"/>
        </w:rPr>
      </w:pPr>
    </w:p>
    <w:p w14:paraId="102B769D" w14:textId="2D93B071" w:rsidR="001A7D1F" w:rsidRPr="00823082" w:rsidRDefault="00D03F86" w:rsidP="00823082">
      <w:pPr>
        <w:pStyle w:val="ListParagraph"/>
        <w:numPr>
          <w:ilvl w:val="0"/>
          <w:numId w:val="15"/>
        </w:numPr>
        <w:autoSpaceDE w:val="0"/>
        <w:autoSpaceDN w:val="0"/>
        <w:adjustRightInd w:val="0"/>
        <w:spacing w:after="0" w:line="240" w:lineRule="auto"/>
        <w:jc w:val="both"/>
        <w:rPr>
          <w:rFonts w:eastAsia="Cambria" w:cs="Arial"/>
          <w:szCs w:val="20"/>
          <w:lang w:eastAsia="en-GB"/>
        </w:rPr>
      </w:pPr>
      <w:r w:rsidRPr="00823082">
        <w:rPr>
          <w:rFonts w:eastAsia="Cambria" w:cs="Arial"/>
          <w:b/>
          <w:szCs w:val="20"/>
          <w:lang w:eastAsia="en-GB"/>
        </w:rPr>
        <w:t>C</w:t>
      </w:r>
      <w:r w:rsidR="00111C4B" w:rsidRPr="00823082">
        <w:rPr>
          <w:rFonts w:eastAsia="Cambria" w:cs="Arial"/>
          <w:b/>
          <w:szCs w:val="20"/>
          <w:lang w:eastAsia="en-GB"/>
        </w:rPr>
        <w:t>ross-country comparisons</w:t>
      </w:r>
      <w:r w:rsidR="00111C4B" w:rsidRPr="00823082">
        <w:rPr>
          <w:rFonts w:eastAsia="Cambria" w:cs="Arial"/>
          <w:szCs w:val="20"/>
          <w:lang w:eastAsia="en-GB"/>
        </w:rPr>
        <w:t xml:space="preserve"> are enabled through procedur</w:t>
      </w:r>
      <w:r w:rsidRPr="00823082">
        <w:rPr>
          <w:rFonts w:eastAsia="Cambria" w:cs="Arial"/>
          <w:szCs w:val="20"/>
          <w:lang w:eastAsia="en-GB"/>
        </w:rPr>
        <w:t>al comparability which is</w:t>
      </w:r>
      <w:r w:rsidR="00111C4B" w:rsidRPr="00823082">
        <w:rPr>
          <w:rFonts w:eastAsia="Cambria" w:cs="Arial"/>
          <w:szCs w:val="20"/>
          <w:lang w:eastAsia="en-GB"/>
        </w:rPr>
        <w:t xml:space="preserve"> drawn from </w:t>
      </w:r>
      <w:r w:rsidRPr="00823082">
        <w:rPr>
          <w:rFonts w:eastAsia="Cambria" w:cs="Arial"/>
          <w:szCs w:val="20"/>
          <w:lang w:eastAsia="en-GB"/>
        </w:rPr>
        <w:t xml:space="preserve">pursuing </w:t>
      </w:r>
      <w:r w:rsidR="00111C4B" w:rsidRPr="00823082">
        <w:rPr>
          <w:rFonts w:eastAsia="Cambria" w:cs="Arial"/>
          <w:szCs w:val="20"/>
          <w:lang w:eastAsia="en-GB"/>
        </w:rPr>
        <w:t xml:space="preserve">detailed and harmonised research and information processing procedures. </w:t>
      </w:r>
    </w:p>
    <w:p w14:paraId="01845E6D" w14:textId="77777777" w:rsidR="00E26C78" w:rsidRPr="001A7D1F" w:rsidRDefault="00E26C78" w:rsidP="001A7D1F">
      <w:pPr>
        <w:pStyle w:val="ListParagraph"/>
        <w:autoSpaceDE w:val="0"/>
        <w:autoSpaceDN w:val="0"/>
        <w:adjustRightInd w:val="0"/>
        <w:spacing w:after="0" w:line="240" w:lineRule="auto"/>
        <w:jc w:val="both"/>
        <w:rPr>
          <w:rFonts w:eastAsia="Cambria" w:cs="Arial"/>
          <w:szCs w:val="20"/>
          <w:lang w:eastAsia="en-GB"/>
        </w:rPr>
      </w:pPr>
    </w:p>
    <w:p w14:paraId="76126529" w14:textId="3181341C" w:rsidR="001A7D1F" w:rsidRPr="00823082" w:rsidRDefault="00AE478E" w:rsidP="00823082">
      <w:pPr>
        <w:pStyle w:val="ListParagraph"/>
        <w:numPr>
          <w:ilvl w:val="0"/>
          <w:numId w:val="15"/>
        </w:numPr>
        <w:autoSpaceDE w:val="0"/>
        <w:autoSpaceDN w:val="0"/>
        <w:adjustRightInd w:val="0"/>
        <w:spacing w:after="0" w:line="240" w:lineRule="auto"/>
        <w:jc w:val="both"/>
        <w:rPr>
          <w:rFonts w:eastAsia="Cambria" w:cs="Arial"/>
          <w:szCs w:val="20"/>
          <w:lang w:eastAsia="en-GB"/>
        </w:rPr>
      </w:pPr>
      <w:r w:rsidRPr="00823082">
        <w:rPr>
          <w:rFonts w:eastAsia="Cambria" w:cs="Arial"/>
          <w:b/>
          <w:szCs w:val="20"/>
          <w:lang w:eastAsia="en-GB"/>
        </w:rPr>
        <w:t>Robustness and c</w:t>
      </w:r>
      <w:r w:rsidR="00111C4B" w:rsidRPr="00823082">
        <w:rPr>
          <w:rFonts w:eastAsia="Cambria" w:cs="Arial"/>
          <w:b/>
          <w:szCs w:val="20"/>
          <w:lang w:eastAsia="en-GB"/>
        </w:rPr>
        <w:t>onsideration of local realities</w:t>
      </w:r>
      <w:r w:rsidR="001D78A3" w:rsidRPr="00823082">
        <w:rPr>
          <w:rFonts w:eastAsia="Cambria" w:cs="Arial"/>
          <w:szCs w:val="20"/>
          <w:lang w:eastAsia="en-GB"/>
        </w:rPr>
        <w:t xml:space="preserve"> are</w:t>
      </w:r>
      <w:r w:rsidR="00111C4B" w:rsidRPr="00823082">
        <w:rPr>
          <w:rFonts w:eastAsia="Cambria" w:cs="Arial"/>
          <w:szCs w:val="20"/>
          <w:lang w:eastAsia="en-GB"/>
        </w:rPr>
        <w:t xml:space="preserve"> ensured through </w:t>
      </w:r>
      <w:r w:rsidR="00D03F86" w:rsidRPr="00823082">
        <w:rPr>
          <w:rFonts w:eastAsia="Cambria" w:cs="Arial"/>
          <w:szCs w:val="20"/>
          <w:lang w:eastAsia="en-GB"/>
        </w:rPr>
        <w:t xml:space="preserve">a </w:t>
      </w:r>
      <w:r w:rsidRPr="00823082">
        <w:rPr>
          <w:rFonts w:eastAsia="Cambria" w:cs="Arial"/>
          <w:szCs w:val="20"/>
          <w:lang w:eastAsia="en-GB"/>
        </w:rPr>
        <w:t>detailed analysis and review of country-specific c</w:t>
      </w:r>
      <w:r w:rsidR="00D03F86" w:rsidRPr="00823082">
        <w:rPr>
          <w:rFonts w:eastAsia="Cambria" w:cs="Arial"/>
          <w:szCs w:val="20"/>
          <w:lang w:eastAsia="en-GB"/>
        </w:rPr>
        <w:t xml:space="preserve">ircumstances, with an </w:t>
      </w:r>
      <w:r w:rsidRPr="00823082">
        <w:rPr>
          <w:rFonts w:eastAsia="Cambria" w:cs="Arial"/>
          <w:szCs w:val="20"/>
          <w:lang w:eastAsia="en-GB"/>
        </w:rPr>
        <w:t xml:space="preserve">adaption of </w:t>
      </w:r>
      <w:r w:rsidR="00D03F86" w:rsidRPr="00823082">
        <w:rPr>
          <w:rFonts w:eastAsia="Cambria" w:cs="Arial"/>
          <w:szCs w:val="20"/>
          <w:lang w:eastAsia="en-GB"/>
        </w:rPr>
        <w:t xml:space="preserve">the </w:t>
      </w:r>
      <w:r w:rsidRPr="00823082">
        <w:rPr>
          <w:rFonts w:eastAsia="Cambria" w:cs="Arial"/>
          <w:szCs w:val="20"/>
          <w:lang w:eastAsia="en-GB"/>
        </w:rPr>
        <w:t>reference budgets to these circumstances</w:t>
      </w:r>
      <w:r w:rsidR="00D03F86" w:rsidRPr="00823082">
        <w:rPr>
          <w:rFonts w:eastAsia="Cambria" w:cs="Arial"/>
          <w:szCs w:val="20"/>
          <w:lang w:eastAsia="en-GB"/>
        </w:rPr>
        <w:t xml:space="preserve"> by national researchers</w:t>
      </w:r>
      <w:r w:rsidRPr="00823082">
        <w:rPr>
          <w:rFonts w:eastAsia="Cambria" w:cs="Arial"/>
          <w:szCs w:val="20"/>
          <w:lang w:eastAsia="en-GB"/>
        </w:rPr>
        <w:t xml:space="preserve">. </w:t>
      </w:r>
    </w:p>
    <w:p w14:paraId="073BF836" w14:textId="77777777" w:rsidR="001D78A3" w:rsidRPr="001A7D1F" w:rsidRDefault="001D78A3" w:rsidP="001A7D1F">
      <w:pPr>
        <w:pStyle w:val="ListParagraph"/>
        <w:autoSpaceDE w:val="0"/>
        <w:autoSpaceDN w:val="0"/>
        <w:adjustRightInd w:val="0"/>
        <w:spacing w:after="0" w:line="240" w:lineRule="auto"/>
        <w:jc w:val="both"/>
        <w:rPr>
          <w:rFonts w:eastAsia="Cambria" w:cs="Arial"/>
          <w:szCs w:val="20"/>
          <w:lang w:eastAsia="en-GB"/>
        </w:rPr>
      </w:pPr>
    </w:p>
    <w:p w14:paraId="2049E6F9" w14:textId="0C80A28C" w:rsidR="00852C10" w:rsidRPr="00823082" w:rsidRDefault="00AE478E" w:rsidP="00823082">
      <w:pPr>
        <w:pStyle w:val="ListParagraph"/>
        <w:numPr>
          <w:ilvl w:val="0"/>
          <w:numId w:val="15"/>
        </w:numPr>
        <w:autoSpaceDE w:val="0"/>
        <w:autoSpaceDN w:val="0"/>
        <w:adjustRightInd w:val="0"/>
        <w:spacing w:after="0" w:line="240" w:lineRule="auto"/>
        <w:jc w:val="both"/>
        <w:rPr>
          <w:rFonts w:eastAsia="Cambria" w:cs="Arial"/>
          <w:szCs w:val="20"/>
          <w:lang w:eastAsia="en-GB"/>
        </w:rPr>
      </w:pPr>
      <w:r w:rsidRPr="00823082">
        <w:rPr>
          <w:rFonts w:eastAsia="Cambria" w:cs="Arial"/>
          <w:b/>
          <w:szCs w:val="20"/>
          <w:lang w:eastAsia="en-GB"/>
        </w:rPr>
        <w:t>Acceptability and validity</w:t>
      </w:r>
      <w:r w:rsidRPr="00823082">
        <w:rPr>
          <w:rFonts w:eastAsia="Cambria" w:cs="Arial"/>
          <w:szCs w:val="20"/>
          <w:lang w:eastAsia="en-GB"/>
        </w:rPr>
        <w:t xml:space="preserve"> </w:t>
      </w:r>
      <w:r w:rsidR="001D78A3" w:rsidRPr="00823082">
        <w:rPr>
          <w:rFonts w:eastAsia="Cambria" w:cs="Arial"/>
          <w:szCs w:val="20"/>
          <w:lang w:eastAsia="en-GB"/>
        </w:rPr>
        <w:t>are</w:t>
      </w:r>
      <w:r w:rsidR="00D03F86" w:rsidRPr="00823082">
        <w:rPr>
          <w:rFonts w:eastAsia="Cambria" w:cs="Arial"/>
          <w:szCs w:val="20"/>
          <w:lang w:eastAsia="en-GB"/>
        </w:rPr>
        <w:t xml:space="preserve"> </w:t>
      </w:r>
      <w:r w:rsidR="001D78A3" w:rsidRPr="00823082">
        <w:rPr>
          <w:rFonts w:eastAsia="Cambria" w:cs="Arial"/>
          <w:szCs w:val="20"/>
          <w:lang w:eastAsia="en-GB"/>
        </w:rPr>
        <w:t>promoted</w:t>
      </w:r>
      <w:r w:rsidRPr="00823082">
        <w:rPr>
          <w:rFonts w:eastAsia="Cambria" w:cs="Arial"/>
          <w:szCs w:val="20"/>
          <w:lang w:eastAsia="en-GB"/>
        </w:rPr>
        <w:t xml:space="preserve"> through </w:t>
      </w:r>
      <w:r w:rsidR="00D03F86" w:rsidRPr="00823082">
        <w:rPr>
          <w:rFonts w:eastAsia="Cambria" w:cs="Arial"/>
          <w:szCs w:val="20"/>
          <w:lang w:eastAsia="en-GB"/>
        </w:rPr>
        <w:t xml:space="preserve">the </w:t>
      </w:r>
      <w:r w:rsidRPr="00823082">
        <w:rPr>
          <w:rFonts w:eastAsia="Cambria" w:cs="Arial"/>
          <w:szCs w:val="20"/>
          <w:lang w:eastAsia="en-GB"/>
        </w:rPr>
        <w:t xml:space="preserve">involvement of different information sources and opinions, including focus groups which give citizens and affected people </w:t>
      </w:r>
      <w:r w:rsidR="001D78A3" w:rsidRPr="00823082">
        <w:rPr>
          <w:rFonts w:eastAsia="Cambria" w:cs="Arial"/>
          <w:szCs w:val="20"/>
          <w:lang w:eastAsia="en-GB"/>
        </w:rPr>
        <w:t>the opportunity</w:t>
      </w:r>
      <w:r w:rsidRPr="00823082">
        <w:rPr>
          <w:rFonts w:eastAsia="Cambria" w:cs="Arial"/>
          <w:szCs w:val="20"/>
          <w:lang w:eastAsia="en-GB"/>
        </w:rPr>
        <w:t xml:space="preserve"> to </w:t>
      </w:r>
      <w:r w:rsidR="001D78A3" w:rsidRPr="00823082">
        <w:rPr>
          <w:rFonts w:eastAsia="Cambria" w:cs="Arial"/>
          <w:szCs w:val="20"/>
          <w:lang w:eastAsia="en-GB"/>
        </w:rPr>
        <w:t>provide</w:t>
      </w:r>
      <w:r w:rsidR="007B2E5D" w:rsidRPr="00823082">
        <w:rPr>
          <w:rFonts w:eastAsia="Cambria" w:cs="Arial"/>
          <w:szCs w:val="20"/>
          <w:lang w:eastAsia="en-GB"/>
        </w:rPr>
        <w:t xml:space="preserve"> input for </w:t>
      </w:r>
      <w:r w:rsidR="001D78A3" w:rsidRPr="00823082">
        <w:rPr>
          <w:rFonts w:eastAsia="Cambria" w:cs="Arial"/>
          <w:szCs w:val="20"/>
          <w:lang w:eastAsia="en-GB"/>
        </w:rPr>
        <w:t>the shaping process of</w:t>
      </w:r>
      <w:r w:rsidR="00D03F86" w:rsidRPr="00823082">
        <w:rPr>
          <w:rFonts w:eastAsia="Cambria" w:cs="Arial"/>
          <w:szCs w:val="20"/>
          <w:lang w:eastAsia="en-GB"/>
        </w:rPr>
        <w:t xml:space="preserve"> reference budgets.</w:t>
      </w:r>
    </w:p>
    <w:p w14:paraId="4E2EA497" w14:textId="77777777" w:rsidR="00852C10" w:rsidRDefault="00852C10" w:rsidP="00F02C6A">
      <w:pPr>
        <w:autoSpaceDE w:val="0"/>
        <w:autoSpaceDN w:val="0"/>
        <w:adjustRightInd w:val="0"/>
        <w:spacing w:after="0" w:line="240" w:lineRule="auto"/>
        <w:rPr>
          <w:rFonts w:ascii="Verdana" w:eastAsia="Cambria" w:hAnsi="Verdana" w:cs="Verdana"/>
          <w:szCs w:val="20"/>
          <w:lang w:eastAsia="en-GB"/>
        </w:rPr>
      </w:pPr>
    </w:p>
    <w:p w14:paraId="7E421C0F" w14:textId="7CA1C21A" w:rsidR="00311A2B" w:rsidRDefault="00823082" w:rsidP="00957134">
      <w:pPr>
        <w:pStyle w:val="Heading3"/>
        <w:spacing w:line="240" w:lineRule="auto"/>
        <w:rPr>
          <w:lang w:eastAsia="en-GB"/>
        </w:rPr>
      </w:pPr>
      <w:r>
        <w:rPr>
          <w:lang w:eastAsia="en-GB"/>
        </w:rPr>
        <w:t>Next steps and f</w:t>
      </w:r>
      <w:r w:rsidR="00E65743" w:rsidRPr="00B30D89">
        <w:rPr>
          <w:lang w:eastAsia="en-GB"/>
        </w:rPr>
        <w:t xml:space="preserve">urther </w:t>
      </w:r>
      <w:r w:rsidR="00D551A8">
        <w:rPr>
          <w:lang w:eastAsia="en-GB"/>
        </w:rPr>
        <w:t>r</w:t>
      </w:r>
      <w:r w:rsidR="00C81732">
        <w:rPr>
          <w:lang w:eastAsia="en-GB"/>
        </w:rPr>
        <w:t>eading</w:t>
      </w:r>
    </w:p>
    <w:p w14:paraId="64A04FFC" w14:textId="058F12B1" w:rsidR="00823082" w:rsidRDefault="00823082" w:rsidP="006379D1">
      <w:pPr>
        <w:jc w:val="both"/>
        <w:rPr>
          <w:lang w:eastAsia="en-GB"/>
        </w:rPr>
      </w:pPr>
      <w:r>
        <w:rPr>
          <w:lang w:eastAsia="en-GB"/>
        </w:rPr>
        <w:t xml:space="preserve">We recommend members </w:t>
      </w:r>
      <w:r w:rsidR="006379D1">
        <w:rPr>
          <w:lang w:eastAsia="en-GB"/>
        </w:rPr>
        <w:t xml:space="preserve">active in the area of minimum income to draw the attention of relevant national government officials to the outcomes of the reference budget project, in order to </w:t>
      </w:r>
      <w:r w:rsidR="003932A2">
        <w:rPr>
          <w:lang w:eastAsia="en-GB"/>
        </w:rPr>
        <w:t xml:space="preserve">encourage a critical </w:t>
      </w:r>
      <w:r w:rsidR="006379D1">
        <w:rPr>
          <w:lang w:eastAsia="en-GB"/>
        </w:rPr>
        <w:t>reassessment of existing schemes</w:t>
      </w:r>
      <w:r w:rsidR="003932A2">
        <w:rPr>
          <w:lang w:eastAsia="en-GB"/>
        </w:rPr>
        <w:t xml:space="preserve"> (and the methodology employed to determine benefit height and coverage)</w:t>
      </w:r>
      <w:r w:rsidR="006379D1">
        <w:rPr>
          <w:lang w:eastAsia="en-GB"/>
        </w:rPr>
        <w:t xml:space="preserve"> as well as cross-border exchange. </w:t>
      </w:r>
    </w:p>
    <w:p w14:paraId="4875B3DE" w14:textId="2A7A775C" w:rsidR="00687C17" w:rsidRPr="00823082" w:rsidRDefault="00687C17" w:rsidP="00823082">
      <w:pPr>
        <w:rPr>
          <w:lang w:eastAsia="en-GB"/>
        </w:rPr>
      </w:pPr>
      <w:r>
        <w:rPr>
          <w:lang w:eastAsia="en-GB"/>
        </w:rPr>
        <w:t>For further information, please consult the links below:</w:t>
      </w:r>
    </w:p>
    <w:p w14:paraId="2540256E" w14:textId="01A1805E" w:rsidR="001D78A3" w:rsidRDefault="00661815" w:rsidP="007D325D">
      <w:pPr>
        <w:shd w:val="clear" w:color="auto" w:fill="FFFFFF"/>
        <w:spacing w:before="100" w:beforeAutospacing="1" w:after="100" w:afterAutospacing="1" w:line="240" w:lineRule="auto"/>
        <w:rPr>
          <w:rFonts w:eastAsia="Cambria" w:cs="Arial"/>
          <w:szCs w:val="20"/>
          <w:lang w:eastAsia="en-GB"/>
        </w:rPr>
      </w:pPr>
      <w:r>
        <w:rPr>
          <w:rFonts w:eastAsia="Times New Roman" w:cs="Arial"/>
          <w:color w:val="000000"/>
          <w:szCs w:val="20"/>
          <w:lang w:val="nl-NL" w:eastAsia="en-GB"/>
        </w:rPr>
        <w:t xml:space="preserve">Website of </w:t>
      </w:r>
      <w:r w:rsidR="00385C5F">
        <w:rPr>
          <w:rFonts w:eastAsia="Times New Roman" w:cs="Arial"/>
          <w:color w:val="000000"/>
          <w:szCs w:val="20"/>
          <w:lang w:val="nl-NL" w:eastAsia="en-GB"/>
        </w:rPr>
        <w:t xml:space="preserve">the </w:t>
      </w:r>
      <w:r>
        <w:rPr>
          <w:rFonts w:eastAsia="Times New Roman" w:cs="Arial"/>
          <w:color w:val="000000"/>
          <w:szCs w:val="20"/>
          <w:lang w:val="nl-NL" w:eastAsia="en-GB"/>
        </w:rPr>
        <w:t>pilot project</w:t>
      </w:r>
      <w:r w:rsidR="00385C5F">
        <w:rPr>
          <w:rFonts w:eastAsia="Times New Roman" w:cs="Arial"/>
          <w:color w:val="000000"/>
          <w:szCs w:val="20"/>
          <w:lang w:val="nl-NL" w:eastAsia="en-GB"/>
        </w:rPr>
        <w:t>:</w:t>
      </w:r>
      <w:r w:rsidR="00763D38">
        <w:rPr>
          <w:rFonts w:eastAsia="Times New Roman" w:cs="Arial"/>
          <w:color w:val="000000"/>
          <w:szCs w:val="20"/>
          <w:lang w:val="nl-NL" w:eastAsia="en-GB"/>
        </w:rPr>
        <w:t xml:space="preserve"> see </w:t>
      </w:r>
      <w:hyperlink r:id="rId13" w:history="1">
        <w:r w:rsidR="00763D38" w:rsidRPr="00763D38">
          <w:rPr>
            <w:rStyle w:val="Hyperlink"/>
            <w:rFonts w:eastAsia="Times New Roman" w:cs="Arial"/>
            <w:szCs w:val="20"/>
            <w:lang w:val="nl-NL" w:eastAsia="en-GB"/>
          </w:rPr>
          <w:t>here</w:t>
        </w:r>
      </w:hyperlink>
      <w:r w:rsidR="00763D38">
        <w:rPr>
          <w:rFonts w:eastAsia="Times New Roman" w:cs="Arial"/>
          <w:color w:val="000000"/>
          <w:szCs w:val="20"/>
          <w:lang w:val="nl-NL" w:eastAsia="en-GB"/>
        </w:rPr>
        <w:t xml:space="preserve">. </w:t>
      </w:r>
    </w:p>
    <w:p w14:paraId="734AD68B" w14:textId="68AE8112" w:rsidR="001D78A3" w:rsidRDefault="008B3394" w:rsidP="007D325D">
      <w:pPr>
        <w:shd w:val="clear" w:color="auto" w:fill="FFFFFF"/>
        <w:spacing w:before="100" w:beforeAutospacing="1" w:after="100" w:afterAutospacing="1" w:line="240" w:lineRule="auto"/>
        <w:rPr>
          <w:rFonts w:eastAsia="Times New Roman" w:cs="Arial"/>
          <w:color w:val="000000"/>
          <w:szCs w:val="20"/>
          <w:lang w:val="nl-NL" w:eastAsia="en-GB"/>
        </w:rPr>
      </w:pPr>
      <w:r>
        <w:rPr>
          <w:rFonts w:eastAsia="Cambria" w:cs="Arial"/>
          <w:szCs w:val="20"/>
          <w:lang w:eastAsia="en-GB"/>
        </w:rPr>
        <w:t xml:space="preserve">Complete text of the proposal for a common methodology: see </w:t>
      </w:r>
      <w:hyperlink r:id="rId14" w:history="1">
        <w:r w:rsidRPr="002821DC">
          <w:rPr>
            <w:rStyle w:val="Hyperlink"/>
            <w:rFonts w:eastAsia="Cambria" w:cs="Arial"/>
            <w:szCs w:val="20"/>
            <w:lang w:eastAsia="en-GB"/>
          </w:rPr>
          <w:t>here</w:t>
        </w:r>
      </w:hyperlink>
      <w:r>
        <w:rPr>
          <w:rFonts w:eastAsia="Cambria" w:cs="Arial"/>
          <w:szCs w:val="20"/>
          <w:lang w:eastAsia="en-GB"/>
        </w:rPr>
        <w:t xml:space="preserve">. </w:t>
      </w:r>
    </w:p>
    <w:p w14:paraId="02CF8FBD" w14:textId="099A8062" w:rsidR="001D78A3" w:rsidRDefault="00385C5F" w:rsidP="007D325D">
      <w:pPr>
        <w:shd w:val="clear" w:color="auto" w:fill="FFFFFF"/>
        <w:spacing w:before="100" w:beforeAutospacing="1" w:after="100" w:afterAutospacing="1" w:line="240" w:lineRule="auto"/>
        <w:rPr>
          <w:rFonts w:eastAsia="Times New Roman" w:cs="Arial"/>
          <w:color w:val="000000"/>
          <w:szCs w:val="20"/>
          <w:lang w:val="nl-NL" w:eastAsia="en-GB"/>
        </w:rPr>
      </w:pPr>
      <w:r>
        <w:rPr>
          <w:rFonts w:eastAsia="Times New Roman" w:cs="Arial"/>
          <w:color w:val="000000"/>
          <w:szCs w:val="20"/>
          <w:lang w:val="nl-NL" w:eastAsia="en-GB"/>
        </w:rPr>
        <w:t>Executive</w:t>
      </w:r>
      <w:r w:rsidR="00661815">
        <w:rPr>
          <w:rFonts w:eastAsia="Times New Roman" w:cs="Arial"/>
          <w:color w:val="000000"/>
          <w:szCs w:val="20"/>
          <w:lang w:val="nl-NL" w:eastAsia="en-GB"/>
        </w:rPr>
        <w:t xml:space="preserve"> summary of </w:t>
      </w:r>
      <w:r w:rsidR="00656EA7">
        <w:rPr>
          <w:rFonts w:eastAsia="Times New Roman" w:cs="Arial"/>
          <w:color w:val="000000"/>
          <w:szCs w:val="20"/>
          <w:lang w:val="nl-NL" w:eastAsia="en-GB"/>
        </w:rPr>
        <w:t xml:space="preserve">the </w:t>
      </w:r>
      <w:r w:rsidR="00661815">
        <w:rPr>
          <w:rFonts w:eastAsia="Times New Roman" w:cs="Arial"/>
          <w:color w:val="000000"/>
          <w:szCs w:val="20"/>
          <w:lang w:val="nl-NL" w:eastAsia="en-GB"/>
        </w:rPr>
        <w:t>pilot project</w:t>
      </w:r>
      <w:r w:rsidR="00763D38">
        <w:rPr>
          <w:rFonts w:eastAsia="Times New Roman" w:cs="Arial"/>
          <w:color w:val="000000"/>
          <w:szCs w:val="20"/>
          <w:lang w:val="nl-NL" w:eastAsia="en-GB"/>
        </w:rPr>
        <w:t>:</w:t>
      </w:r>
      <w:r w:rsidR="00661815">
        <w:rPr>
          <w:rFonts w:eastAsia="Times New Roman" w:cs="Arial"/>
          <w:color w:val="000000"/>
          <w:szCs w:val="20"/>
          <w:lang w:val="nl-NL" w:eastAsia="en-GB"/>
        </w:rPr>
        <w:t xml:space="preserve"> </w:t>
      </w:r>
      <w:r w:rsidR="00763D38">
        <w:rPr>
          <w:rFonts w:eastAsia="Times New Roman" w:cs="Arial"/>
          <w:color w:val="000000"/>
          <w:szCs w:val="20"/>
          <w:lang w:val="nl-NL" w:eastAsia="en-GB"/>
        </w:rPr>
        <w:t xml:space="preserve">see </w:t>
      </w:r>
      <w:hyperlink r:id="rId15" w:history="1">
        <w:r w:rsidR="00763D38" w:rsidRPr="00763D38">
          <w:rPr>
            <w:rStyle w:val="Hyperlink"/>
            <w:rFonts w:eastAsia="Times New Roman" w:cs="Arial"/>
            <w:szCs w:val="20"/>
            <w:lang w:val="nl-NL" w:eastAsia="en-GB"/>
          </w:rPr>
          <w:t>here</w:t>
        </w:r>
      </w:hyperlink>
      <w:r w:rsidR="00763D38">
        <w:rPr>
          <w:rFonts w:eastAsia="Times New Roman" w:cs="Arial"/>
          <w:color w:val="000000"/>
          <w:szCs w:val="20"/>
          <w:lang w:val="nl-NL" w:eastAsia="en-GB"/>
        </w:rPr>
        <w:t xml:space="preserve">.  </w:t>
      </w:r>
    </w:p>
    <w:p w14:paraId="0EF3D57E" w14:textId="6FC9EF8B" w:rsidR="004B5667" w:rsidRPr="00787F99" w:rsidRDefault="00407A93" w:rsidP="007D325D">
      <w:pPr>
        <w:shd w:val="clear" w:color="auto" w:fill="FFFFFF"/>
        <w:spacing w:before="100" w:beforeAutospacing="1" w:after="100" w:afterAutospacing="1" w:line="240" w:lineRule="auto"/>
        <w:rPr>
          <w:rFonts w:ascii="Verdana" w:eastAsia="Cambria" w:hAnsi="Verdana" w:cs="Verdana"/>
          <w:szCs w:val="20"/>
          <w:lang w:eastAsia="en-GB"/>
        </w:rPr>
      </w:pPr>
      <w:r>
        <w:rPr>
          <w:rFonts w:eastAsia="Times New Roman" w:cs="Arial"/>
          <w:color w:val="000000"/>
          <w:szCs w:val="20"/>
          <w:lang w:val="nl-NL" w:eastAsia="en-GB"/>
        </w:rPr>
        <w:t>Eurodiaconia paper on reference budgets</w:t>
      </w:r>
      <w:r w:rsidR="00763D38">
        <w:rPr>
          <w:rFonts w:eastAsia="Times New Roman" w:cs="Arial"/>
          <w:color w:val="000000"/>
          <w:szCs w:val="20"/>
          <w:lang w:val="nl-NL" w:eastAsia="en-GB"/>
        </w:rPr>
        <w:t xml:space="preserve">: see </w:t>
      </w:r>
      <w:hyperlink r:id="rId16" w:history="1">
        <w:r w:rsidR="00763D38" w:rsidRPr="00763D38">
          <w:rPr>
            <w:rStyle w:val="Hyperlink"/>
            <w:rFonts w:eastAsia="Times New Roman" w:cs="Arial"/>
            <w:szCs w:val="20"/>
            <w:lang w:val="nl-NL" w:eastAsia="en-GB"/>
          </w:rPr>
          <w:t>here</w:t>
        </w:r>
      </w:hyperlink>
      <w:r w:rsidR="00763D38">
        <w:rPr>
          <w:rFonts w:eastAsia="Times New Roman" w:cs="Arial"/>
          <w:color w:val="000000"/>
          <w:szCs w:val="20"/>
          <w:lang w:val="nl-NL" w:eastAsia="en-GB"/>
        </w:rPr>
        <w:t xml:space="preserve">. </w:t>
      </w:r>
    </w:p>
    <w:sectPr w:rsidR="004B5667" w:rsidRPr="00787F99" w:rsidSect="00617F9C">
      <w:headerReference w:type="default" r:id="rId17"/>
      <w:footerReference w:type="default" r:id="rId18"/>
      <w:headerReference w:type="first" r:id="rId19"/>
      <w:footerReference w:type="first" r:id="rId20"/>
      <w:pgSz w:w="11900" w:h="16840"/>
      <w:pgMar w:top="250" w:right="1134" w:bottom="1134" w:left="1134" w:header="1134" w:footer="7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6150D" w14:textId="77777777" w:rsidR="003A5743" w:rsidRDefault="003A5743">
      <w:r>
        <w:separator/>
      </w:r>
    </w:p>
  </w:endnote>
  <w:endnote w:type="continuationSeparator" w:id="0">
    <w:p w14:paraId="3DE8B33C" w14:textId="77777777" w:rsidR="003A5743" w:rsidRDefault="003A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21C18" w14:textId="77777777" w:rsidR="008706D9" w:rsidRDefault="008706D9">
    <w:pPr>
      <w:pStyle w:val="Footer"/>
    </w:pPr>
  </w:p>
  <w:p w14:paraId="7E421C19" w14:textId="77777777" w:rsidR="008706D9" w:rsidRDefault="008706D9">
    <w:pPr>
      <w:pStyle w:val="Footer"/>
    </w:pPr>
  </w:p>
  <w:p w14:paraId="7E421C1A" w14:textId="77777777" w:rsidR="008706D9" w:rsidRPr="007D69D8" w:rsidRDefault="009F50BF" w:rsidP="008706D9">
    <w:pPr>
      <w:pStyle w:val="Footer"/>
      <w:tabs>
        <w:tab w:val="clear" w:pos="4320"/>
        <w:tab w:val="clear" w:pos="8640"/>
      </w:tabs>
      <w:jc w:val="right"/>
      <w:rPr>
        <w:rFonts w:cs="Arial"/>
        <w:sz w:val="18"/>
      </w:rPr>
    </w:pPr>
    <w:r>
      <w:rPr>
        <w:rFonts w:cs="Arial"/>
        <w:iCs/>
        <w:noProof/>
        <w:sz w:val="14"/>
        <w:szCs w:val="20"/>
        <w:lang w:eastAsia="en-GB"/>
      </w:rPr>
      <mc:AlternateContent>
        <mc:Choice Requires="wps">
          <w:drawing>
            <wp:anchor distT="0" distB="0" distL="114300" distR="114300" simplePos="0" relativeHeight="251657728" behindDoc="0" locked="0" layoutInCell="1" allowOverlap="1" wp14:anchorId="7E421C26" wp14:editId="7E421C27">
              <wp:simplePos x="0" y="0"/>
              <wp:positionH relativeFrom="column">
                <wp:posOffset>-840740</wp:posOffset>
              </wp:positionH>
              <wp:positionV relativeFrom="paragraph">
                <wp:posOffset>715645</wp:posOffset>
              </wp:positionV>
              <wp:extent cx="7988300" cy="266700"/>
              <wp:effectExtent l="0" t="1270" r="0" b="0"/>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300" cy="266700"/>
                      </a:xfrm>
                      <a:prstGeom prst="rect">
                        <a:avLst/>
                      </a:prstGeom>
                      <a:solidFill>
                        <a:srgbClr val="009BDA"/>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4E1E3" id="Rectangle 47" o:spid="_x0000_s1026" style="position:absolute;margin-left:-66.2pt;margin-top:56.35pt;width:629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" fillcolor="#009bda" stroked="f" strokecolor="#4a7ebb" strokeweight="1.5pt">
              <v:shadow opacity="22938f" offset="0"/>
              <v:textbox inset=",7.2pt,,7.2pt"/>
            </v:rect>
          </w:pict>
        </mc:Fallback>
      </mc:AlternateContent>
    </w:r>
    <w:r w:rsidR="008706D9" w:rsidRPr="007D69D8">
      <w:rPr>
        <w:rFonts w:cs="Arial"/>
        <w:sz w:val="18"/>
      </w:rPr>
      <w:t xml:space="preserve">Page </w:t>
    </w:r>
    <w:r w:rsidR="00FC5167" w:rsidRPr="007D69D8">
      <w:rPr>
        <w:rFonts w:cs="Arial"/>
        <w:sz w:val="18"/>
      </w:rPr>
      <w:fldChar w:fldCharType="begin"/>
    </w:r>
    <w:r w:rsidR="008706D9" w:rsidRPr="007D69D8">
      <w:rPr>
        <w:rFonts w:cs="Arial"/>
        <w:sz w:val="18"/>
      </w:rPr>
      <w:instrText xml:space="preserve"> PAGE </w:instrText>
    </w:r>
    <w:r w:rsidR="00FC5167" w:rsidRPr="007D69D8">
      <w:rPr>
        <w:rFonts w:cs="Arial"/>
        <w:sz w:val="18"/>
      </w:rPr>
      <w:fldChar w:fldCharType="separate"/>
    </w:r>
    <w:r w:rsidR="0020753E">
      <w:rPr>
        <w:rFonts w:cs="Arial"/>
        <w:noProof/>
        <w:sz w:val="18"/>
      </w:rPr>
      <w:t>4</w:t>
    </w:r>
    <w:r w:rsidR="00FC5167" w:rsidRPr="007D69D8">
      <w:rPr>
        <w:rFonts w:cs="Arial"/>
        <w:sz w:val="18"/>
      </w:rPr>
      <w:fldChar w:fldCharType="end"/>
    </w:r>
    <w:r w:rsidR="008706D9" w:rsidRPr="007D69D8">
      <w:rPr>
        <w:rFonts w:cs="Arial"/>
        <w:sz w:val="18"/>
      </w:rPr>
      <w:t xml:space="preserve"> of </w:t>
    </w:r>
    <w:r w:rsidR="00FC5167" w:rsidRPr="007D69D8">
      <w:rPr>
        <w:rFonts w:cs="Arial"/>
        <w:sz w:val="18"/>
      </w:rPr>
      <w:fldChar w:fldCharType="begin"/>
    </w:r>
    <w:r w:rsidR="008706D9" w:rsidRPr="007D69D8">
      <w:rPr>
        <w:rFonts w:cs="Arial"/>
        <w:sz w:val="18"/>
      </w:rPr>
      <w:instrText xml:space="preserve"> NUMPAGES </w:instrText>
    </w:r>
    <w:r w:rsidR="00FC5167" w:rsidRPr="007D69D8">
      <w:rPr>
        <w:rFonts w:cs="Arial"/>
        <w:sz w:val="18"/>
      </w:rPr>
      <w:fldChar w:fldCharType="separate"/>
    </w:r>
    <w:r w:rsidR="0020753E">
      <w:rPr>
        <w:rFonts w:cs="Arial"/>
        <w:noProof/>
        <w:sz w:val="18"/>
      </w:rPr>
      <w:t>4</w:t>
    </w:r>
    <w:r w:rsidR="00FC5167" w:rsidRPr="007D69D8">
      <w:rPr>
        <w:rFonts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21C1D" w14:textId="77777777" w:rsidR="008706D9" w:rsidRDefault="008706D9" w:rsidP="008706D9">
    <w:pPr>
      <w:pStyle w:val="Footer"/>
      <w:rPr>
        <w:sz w:val="18"/>
      </w:rPr>
    </w:pPr>
  </w:p>
  <w:p w14:paraId="7E421C1E" w14:textId="77777777" w:rsidR="008706D9" w:rsidRPr="007D69D8" w:rsidRDefault="008706D9" w:rsidP="008706D9">
    <w:pPr>
      <w:pStyle w:val="Footer"/>
      <w:jc w:val="right"/>
      <w:rPr>
        <w:rFonts w:cs="Arial"/>
        <w:sz w:val="18"/>
      </w:rPr>
    </w:pPr>
    <w:r w:rsidRPr="007D69D8">
      <w:rPr>
        <w:rFonts w:cs="Arial"/>
        <w:sz w:val="18"/>
      </w:rPr>
      <w:t xml:space="preserve">Page </w:t>
    </w:r>
    <w:r w:rsidR="00FC5167" w:rsidRPr="007D69D8">
      <w:rPr>
        <w:rFonts w:cs="Arial"/>
        <w:sz w:val="18"/>
      </w:rPr>
      <w:fldChar w:fldCharType="begin"/>
    </w:r>
    <w:r w:rsidRPr="007D69D8">
      <w:rPr>
        <w:rFonts w:cs="Arial"/>
        <w:sz w:val="18"/>
      </w:rPr>
      <w:instrText xml:space="preserve"> PAGE </w:instrText>
    </w:r>
    <w:r w:rsidR="00FC5167" w:rsidRPr="007D69D8">
      <w:rPr>
        <w:rFonts w:cs="Arial"/>
        <w:sz w:val="18"/>
      </w:rPr>
      <w:fldChar w:fldCharType="separate"/>
    </w:r>
    <w:r w:rsidR="0020753E">
      <w:rPr>
        <w:rFonts w:cs="Arial"/>
        <w:noProof/>
        <w:sz w:val="18"/>
      </w:rPr>
      <w:t>1</w:t>
    </w:r>
    <w:r w:rsidR="00FC5167" w:rsidRPr="007D69D8">
      <w:rPr>
        <w:rFonts w:cs="Arial"/>
        <w:sz w:val="18"/>
      </w:rPr>
      <w:fldChar w:fldCharType="end"/>
    </w:r>
    <w:r w:rsidRPr="007D69D8">
      <w:rPr>
        <w:rFonts w:cs="Arial"/>
        <w:sz w:val="18"/>
      </w:rPr>
      <w:t xml:space="preserve"> of </w:t>
    </w:r>
    <w:r w:rsidR="00FC5167" w:rsidRPr="007D69D8">
      <w:rPr>
        <w:rFonts w:cs="Arial"/>
        <w:sz w:val="18"/>
      </w:rPr>
      <w:fldChar w:fldCharType="begin"/>
    </w:r>
    <w:r w:rsidRPr="007D69D8">
      <w:rPr>
        <w:rFonts w:cs="Arial"/>
        <w:sz w:val="18"/>
      </w:rPr>
      <w:instrText xml:space="preserve"> NUMPAGES </w:instrText>
    </w:r>
    <w:r w:rsidR="00FC5167" w:rsidRPr="007D69D8">
      <w:rPr>
        <w:rFonts w:cs="Arial"/>
        <w:sz w:val="18"/>
      </w:rPr>
      <w:fldChar w:fldCharType="separate"/>
    </w:r>
    <w:r w:rsidR="0020753E">
      <w:rPr>
        <w:rFonts w:cs="Arial"/>
        <w:noProof/>
        <w:sz w:val="18"/>
      </w:rPr>
      <w:t>4</w:t>
    </w:r>
    <w:r w:rsidR="00FC5167" w:rsidRPr="007D69D8">
      <w:rPr>
        <w:rFonts w:cs="Arial"/>
        <w:sz w:val="18"/>
      </w:rPr>
      <w:fldChar w:fldCharType="end"/>
    </w:r>
  </w:p>
  <w:p w14:paraId="7E421C1F" w14:textId="77777777" w:rsidR="008706D9" w:rsidRDefault="008706D9" w:rsidP="008706D9">
    <w:pPr>
      <w:pStyle w:val="Footer"/>
      <w:rPr>
        <w:iCs/>
        <w:sz w:val="18"/>
        <w:szCs w:val="20"/>
      </w:rPr>
    </w:pPr>
  </w:p>
  <w:p w14:paraId="7E421C20" w14:textId="77777777" w:rsidR="009F50BF" w:rsidRPr="009F50BF" w:rsidRDefault="009F50BF" w:rsidP="009F50BF">
    <w:pPr>
      <w:pStyle w:val="Footer"/>
      <w:rPr>
        <w:iCs/>
        <w:sz w:val="14"/>
        <w:szCs w:val="14"/>
      </w:rPr>
    </w:pPr>
    <w:r>
      <w:rPr>
        <w:iCs/>
        <w:noProof/>
        <w:sz w:val="18"/>
        <w:szCs w:val="20"/>
        <w:lang w:eastAsia="en-GB"/>
      </w:rPr>
      <mc:AlternateContent>
        <mc:Choice Requires="wps">
          <w:drawing>
            <wp:anchor distT="0" distB="0" distL="114300" distR="114300" simplePos="0" relativeHeight="251656704" behindDoc="0" locked="0" layoutInCell="1" allowOverlap="1" wp14:anchorId="7E421C2C" wp14:editId="7E421C2D">
              <wp:simplePos x="0" y="0"/>
              <wp:positionH relativeFrom="column">
                <wp:posOffset>1483360</wp:posOffset>
              </wp:positionH>
              <wp:positionV relativeFrom="paragraph">
                <wp:posOffset>57150</wp:posOffset>
              </wp:positionV>
              <wp:extent cx="2879725" cy="0"/>
              <wp:effectExtent l="6985" t="9525" r="8890" b="9525"/>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12700">
                        <a:solidFill>
                          <a:srgbClr val="009BD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96BCCC" id="Line 3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pt,4.5pt" to="343.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" strokecolor="#009bda" strokeweight="1pt">
              <v:shadow opacity="22938f" offset="0"/>
            </v:line>
          </w:pict>
        </mc:Fallback>
      </mc:AlternateContent>
    </w:r>
  </w:p>
  <w:p w14:paraId="7E421C21" w14:textId="77777777" w:rsidR="008706D9" w:rsidRPr="009F50BF" w:rsidRDefault="00B94D9B" w:rsidP="009F50BF">
    <w:pPr>
      <w:spacing w:after="0"/>
      <w:rPr>
        <w:rFonts w:cs="Arial"/>
        <w:sz w:val="14"/>
        <w:szCs w:val="14"/>
      </w:rPr>
    </w:pPr>
    <w:r>
      <w:rPr>
        <w:iCs/>
        <w:noProof/>
        <w:sz w:val="14"/>
        <w:szCs w:val="20"/>
        <w:lang w:eastAsia="en-GB"/>
      </w:rPr>
      <mc:AlternateContent>
        <mc:Choice Requires="wps">
          <w:drawing>
            <wp:anchor distT="0" distB="0" distL="114300" distR="114300" simplePos="0" relativeHeight="251658752" behindDoc="0" locked="0" layoutInCell="1" allowOverlap="1" wp14:anchorId="7E421C2E" wp14:editId="7E421C2F">
              <wp:simplePos x="0" y="0"/>
              <wp:positionH relativeFrom="column">
                <wp:posOffset>-1081405</wp:posOffset>
              </wp:positionH>
              <wp:positionV relativeFrom="paragraph">
                <wp:posOffset>1015477</wp:posOffset>
              </wp:positionV>
              <wp:extent cx="7988300" cy="266700"/>
              <wp:effectExtent l="0" t="0" r="0" b="0"/>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300" cy="266700"/>
                      </a:xfrm>
                      <a:prstGeom prst="rect">
                        <a:avLst/>
                      </a:prstGeom>
                      <a:solidFill>
                        <a:srgbClr val="009BDA"/>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C6F96" id="Rectangle 48" o:spid="_x0000_s1026" style="position:absolute;margin-left:-85.15pt;margin-top:79.95pt;width:629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" fillcolor="#009bda" stroked="f" strokecolor="#4a7ebb" strokeweight="1.5pt">
              <v:shadow opacity="22938f" offset="0"/>
              <v:textbox inset=",7.2pt,,7.2pt"/>
            </v:rect>
          </w:pict>
        </mc:Fallback>
      </mc:AlternateContent>
    </w:r>
    <w:r w:rsidR="009F50BF" w:rsidRPr="009F50BF">
      <w:rPr>
        <w:iCs/>
        <w:noProof/>
        <w:sz w:val="14"/>
        <w:szCs w:val="14"/>
        <w:lang w:eastAsia="en-GB"/>
      </w:rPr>
      <w:drawing>
        <wp:anchor distT="0" distB="0" distL="114300" distR="114300" simplePos="0" relativeHeight="251672064" behindDoc="0" locked="0" layoutInCell="1" allowOverlap="1" wp14:anchorId="7E421C30" wp14:editId="7E421C31">
          <wp:simplePos x="0" y="0"/>
          <wp:positionH relativeFrom="column">
            <wp:posOffset>17145</wp:posOffset>
          </wp:positionH>
          <wp:positionV relativeFrom="paragraph">
            <wp:posOffset>-2540</wp:posOffset>
          </wp:positionV>
          <wp:extent cx="266700" cy="175895"/>
          <wp:effectExtent l="0" t="0" r="0" b="0"/>
          <wp:wrapTight wrapText="bothSides">
            <wp:wrapPolygon edited="0">
              <wp:start x="0" y="0"/>
              <wp:lineTo x="0" y="18715"/>
              <wp:lineTo x="20057" y="18715"/>
              <wp:lineTo x="20057" y="0"/>
              <wp:lineTo x="0" y="0"/>
            </wp:wrapPolygon>
          </wp:wrapTight>
          <wp:docPr id="50" name="Picture 39" descr="Macintosh HD:Users:lymf:Documents:Edustries:Various - Asso - Business:Eurodiaconia:Sources:EU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cintosh HD:Users:lymf:Documents:Edustries:Various - Asso - Business:Eurodiaconia:Sources:EU Flag.jpg"/>
                  <pic:cNvPicPr>
                    <a:picLocks noChangeAspect="1" noChangeArrowheads="1"/>
                  </pic:cNvPicPr>
                </pic:nvPicPr>
                <pic:blipFill>
                  <a:blip r:embed="rId1"/>
                  <a:srcRect/>
                  <a:stretch>
                    <a:fillRect/>
                  </a:stretch>
                </pic:blipFill>
                <pic:spPr bwMode="auto">
                  <a:xfrm>
                    <a:off x="0" y="0"/>
                    <a:ext cx="266700" cy="175895"/>
                  </a:xfrm>
                  <a:prstGeom prst="rect">
                    <a:avLst/>
                  </a:prstGeom>
                  <a:noFill/>
                </pic:spPr>
              </pic:pic>
            </a:graphicData>
          </a:graphic>
        </wp:anchor>
      </w:drawing>
    </w:r>
    <w:r w:rsidR="009F50BF" w:rsidRPr="009F50BF">
      <w:rPr>
        <w:rStyle w:val="Emphasis"/>
        <w:rFonts w:cs="Arial"/>
        <w:sz w:val="14"/>
        <w:szCs w:val="14"/>
      </w:rPr>
      <w:t xml:space="preserve">                  </w:t>
    </w:r>
    <w:r w:rsidR="009F50BF" w:rsidRPr="009F50BF">
      <w:rPr>
        <w:rStyle w:val="Emphasis"/>
        <w:rFonts w:cs="Arial"/>
        <w:i w:val="0"/>
        <w:sz w:val="14"/>
        <w:szCs w:val="14"/>
      </w:rPr>
      <w:t>Eurodiaconia is a federation of 45 social and health care organisations founded in the Christian faith and promoting social justice.</w:t>
    </w:r>
    <w:r w:rsidR="009F50BF" w:rsidRPr="009F50BF">
      <w:rPr>
        <w:rFonts w:cs="Arial"/>
        <w:i/>
        <w:sz w:val="14"/>
        <w:szCs w:val="14"/>
      </w:rPr>
      <w:br/>
    </w:r>
    <w:r w:rsidR="009F50BF" w:rsidRPr="009F50BF">
      <w:rPr>
        <w:rStyle w:val="Emphasis"/>
        <w:rFonts w:cs="Arial"/>
        <w:i w:val="0"/>
        <w:sz w:val="14"/>
        <w:szCs w:val="14"/>
      </w:rPr>
      <w:t xml:space="preserve">                  Eurodiaconia is a registered </w:t>
    </w:r>
    <w:proofErr w:type="spellStart"/>
    <w:r w:rsidR="009F50BF" w:rsidRPr="009F50BF">
      <w:rPr>
        <w:rStyle w:val="Emphasis"/>
        <w:rFonts w:cs="Arial"/>
        <w:i w:val="0"/>
        <w:sz w:val="14"/>
        <w:szCs w:val="14"/>
      </w:rPr>
      <w:t>aisbl</w:t>
    </w:r>
    <w:proofErr w:type="spellEnd"/>
    <w:r w:rsidR="009F50BF" w:rsidRPr="009F50BF">
      <w:rPr>
        <w:rStyle w:val="Emphasis"/>
        <w:rFonts w:cs="Arial"/>
        <w:i w:val="0"/>
        <w:sz w:val="14"/>
        <w:szCs w:val="14"/>
      </w:rPr>
      <w:t xml:space="preserve"> in Belgium. This publication has received financial support from the European Union Programme for Employment and Social Innovation "</w:t>
    </w:r>
    <w:proofErr w:type="spellStart"/>
    <w:r w:rsidR="009F50BF" w:rsidRPr="009F50BF">
      <w:rPr>
        <w:rStyle w:val="Emphasis"/>
        <w:rFonts w:cs="Arial"/>
        <w:i w:val="0"/>
        <w:sz w:val="14"/>
        <w:szCs w:val="14"/>
      </w:rPr>
      <w:t>EaSI</w:t>
    </w:r>
    <w:proofErr w:type="spellEnd"/>
    <w:r w:rsidR="009F50BF" w:rsidRPr="009F50BF">
      <w:rPr>
        <w:rStyle w:val="Emphasis"/>
        <w:rFonts w:cs="Arial"/>
        <w:i w:val="0"/>
        <w:sz w:val="14"/>
        <w:szCs w:val="14"/>
      </w:rPr>
      <w:t>" (2014-2020). For further information,</w:t>
    </w:r>
    <w:r w:rsidR="009F50BF" w:rsidRPr="009F50BF">
      <w:rPr>
        <w:rFonts w:cs="Arial"/>
        <w:i/>
        <w:sz w:val="14"/>
        <w:szCs w:val="14"/>
      </w:rPr>
      <w:t xml:space="preserve"> </w:t>
    </w:r>
    <w:r w:rsidR="009F50BF" w:rsidRPr="009F50BF">
      <w:rPr>
        <w:rStyle w:val="Emphasis"/>
        <w:rFonts w:cs="Arial"/>
        <w:i w:val="0"/>
        <w:sz w:val="14"/>
        <w:szCs w:val="14"/>
      </w:rPr>
      <w:t>please consult:</w:t>
    </w:r>
    <w:r w:rsidR="009F50BF" w:rsidRPr="009F50BF">
      <w:rPr>
        <w:rStyle w:val="apple-converted-space"/>
        <w:rFonts w:cs="Arial"/>
        <w:i/>
        <w:iCs/>
        <w:sz w:val="14"/>
        <w:szCs w:val="14"/>
      </w:rPr>
      <w:t> </w:t>
    </w:r>
    <w:hyperlink r:id="rId2" w:history="1">
      <w:r w:rsidR="009F50BF" w:rsidRPr="009F50BF">
        <w:rPr>
          <w:rStyle w:val="Hyperlink"/>
          <w:rFonts w:cs="Arial"/>
          <w:i/>
          <w:iCs/>
          <w:color w:val="auto"/>
          <w:sz w:val="14"/>
          <w:szCs w:val="14"/>
        </w:rPr>
        <w:t>http://ec.europa.eu/social/easi</w:t>
      </w:r>
    </w:hyperlink>
    <w:r w:rsidR="009F50BF" w:rsidRPr="009F50BF">
      <w:rPr>
        <w:rStyle w:val="Emphasis"/>
        <w:rFonts w:cs="Arial"/>
        <w:i w:val="0"/>
        <w:sz w:val="14"/>
        <w:szCs w:val="14"/>
      </w:rPr>
      <w:t>.The information contained in this publication does not necessarily reflect the position or opinion of the European Commission.</w:t>
    </w:r>
    <w:r w:rsidR="009F50BF" w:rsidRPr="009F50BF">
      <w:rPr>
        <w:rFonts w:cs="Arial"/>
        <w:i/>
        <w:sz w:val="14"/>
        <w:szCs w:val="14"/>
      </w:rPr>
      <w:t xml:space="preserve"> </w:t>
    </w:r>
    <w:r w:rsidR="009F50BF" w:rsidRPr="009F50BF">
      <w:rPr>
        <w:rFonts w:cs="Arial"/>
        <w:i/>
        <w:sz w:val="14"/>
        <w:szCs w:val="14"/>
      </w:rPr>
      <w:br/>
    </w:r>
    <w:r w:rsidR="009F50BF" w:rsidRPr="009F50BF">
      <w:rPr>
        <w:rStyle w:val="Strong"/>
        <w:rFonts w:cs="Arial"/>
        <w:sz w:val="14"/>
        <w:szCs w:val="14"/>
      </w:rPr>
      <w:t>Copyright (C) 2015 Eurodiaconia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885FF" w14:textId="77777777" w:rsidR="003A5743" w:rsidRDefault="003A5743">
      <w:r>
        <w:separator/>
      </w:r>
    </w:p>
  </w:footnote>
  <w:footnote w:type="continuationSeparator" w:id="0">
    <w:p w14:paraId="27104144" w14:textId="77777777" w:rsidR="003A5743" w:rsidRDefault="003A5743">
      <w:r>
        <w:continuationSeparator/>
      </w:r>
    </w:p>
  </w:footnote>
  <w:footnote w:id="1">
    <w:p w14:paraId="5CD41C9B" w14:textId="38A53130" w:rsidR="00DF299A" w:rsidRPr="00DF299A" w:rsidRDefault="00DF299A" w:rsidP="00DF299A">
      <w:pPr>
        <w:pStyle w:val="NoSpacing"/>
      </w:pPr>
      <w:r w:rsidRPr="00DF299A">
        <w:rPr>
          <w:rStyle w:val="FootnoteReference"/>
          <w:sz w:val="18"/>
          <w:szCs w:val="18"/>
        </w:rPr>
        <w:footnoteRef/>
      </w:r>
      <w:r w:rsidRPr="00DF299A">
        <w:t xml:space="preserve"> </w:t>
      </w:r>
      <w:hyperlink r:id="rId1" w:history="1">
        <w:r w:rsidRPr="00DF299A">
          <w:rPr>
            <w:rStyle w:val="Hyperlink"/>
            <w:sz w:val="18"/>
            <w:szCs w:val="18"/>
          </w:rPr>
          <w:t>http://ec.europa.eu/social/main.jsp?langId=en&amp;catId=1044&amp;newsId=1807&amp;furtherNews=yes</w:t>
        </w:r>
      </w:hyperlink>
      <w:r w:rsidRPr="00DF299A">
        <w:t xml:space="preserve"> </w:t>
      </w:r>
    </w:p>
  </w:footnote>
  <w:footnote w:id="2">
    <w:p w14:paraId="1A8974C3" w14:textId="268A4EB4" w:rsidR="00730F89" w:rsidRPr="0020753E" w:rsidRDefault="00730F89" w:rsidP="00DF299A">
      <w:pPr>
        <w:pStyle w:val="NoSpacing"/>
        <w:rPr>
          <w:sz w:val="18"/>
          <w:szCs w:val="18"/>
        </w:rPr>
      </w:pPr>
      <w:r w:rsidRPr="0020753E">
        <w:rPr>
          <w:rStyle w:val="FootnoteReference"/>
          <w:sz w:val="18"/>
          <w:szCs w:val="18"/>
        </w:rPr>
        <w:footnoteRef/>
      </w:r>
      <w:r w:rsidRPr="0020753E">
        <w:rPr>
          <w:sz w:val="18"/>
          <w:szCs w:val="18"/>
        </w:rPr>
        <w:t xml:space="preserve"> </w:t>
      </w:r>
      <w:hyperlink r:id="rId2" w:history="1">
        <w:r w:rsidR="0020753E" w:rsidRPr="005857CE">
          <w:rPr>
            <w:rStyle w:val="Hyperlink"/>
            <w:sz w:val="18"/>
            <w:szCs w:val="18"/>
          </w:rPr>
          <w:t>http://www.eurodiaconia.org/2015/12/briefing-on-key-barriers-to-adequate-minimum-income-schemes-out-now/</w:t>
        </w:r>
      </w:hyperlink>
      <w:r w:rsidR="0020753E">
        <w:rPr>
          <w:sz w:val="18"/>
          <w:szCs w:val="18"/>
        </w:rPr>
        <w:t xml:space="preserve"> </w:t>
      </w:r>
      <w:bookmarkStart w:id="0" w:name="_GoBack"/>
      <w:bookmarkEnd w:id="0"/>
    </w:p>
  </w:footnote>
  <w:footnote w:id="3">
    <w:p w14:paraId="37C01E0A" w14:textId="5404C0F9" w:rsidR="002B0ED4" w:rsidRDefault="002B0ED4" w:rsidP="00DF299A">
      <w:pPr>
        <w:pStyle w:val="NoSpacing"/>
      </w:pPr>
      <w:r w:rsidRPr="00DF299A">
        <w:rPr>
          <w:rStyle w:val="FootnoteReference"/>
          <w:sz w:val="18"/>
          <w:szCs w:val="18"/>
        </w:rPr>
        <w:footnoteRef/>
      </w:r>
      <w:r w:rsidRPr="00DF299A">
        <w:t xml:space="preserve"> Reference Budgets for Social Inclusion (2015). </w:t>
      </w:r>
      <w:hyperlink r:id="rId3" w:history="1">
        <w:r w:rsidRPr="00DF299A">
          <w:rPr>
            <w:rStyle w:val="Hyperlink"/>
            <w:i/>
            <w:color w:val="auto"/>
            <w:sz w:val="18"/>
            <w:szCs w:val="18"/>
          </w:rPr>
          <w:t>Reference budgets</w:t>
        </w:r>
      </w:hyperlink>
      <w:r w:rsidRPr="00DF299A">
        <w:rPr>
          <w:i/>
        </w:rPr>
        <w:t>.</w:t>
      </w:r>
      <w:r w:rsidRPr="00DF299A">
        <w:t xml:space="preserve"> Brussels: Applica</w:t>
      </w:r>
    </w:p>
  </w:footnote>
  <w:footnote w:id="4">
    <w:p w14:paraId="25C7DF30" w14:textId="18D7953A" w:rsidR="007D325D" w:rsidRPr="006C4089" w:rsidRDefault="007D325D" w:rsidP="007D325D">
      <w:pPr>
        <w:pStyle w:val="FootnoteText"/>
        <w:spacing w:line="240" w:lineRule="auto"/>
        <w:rPr>
          <w:sz w:val="18"/>
          <w:szCs w:val="18"/>
        </w:rPr>
      </w:pPr>
      <w:r w:rsidRPr="006C4089">
        <w:rPr>
          <w:rStyle w:val="FootnoteReference"/>
          <w:sz w:val="18"/>
          <w:szCs w:val="18"/>
        </w:rPr>
        <w:footnoteRef/>
      </w:r>
      <w:r w:rsidRPr="006C4089">
        <w:rPr>
          <w:sz w:val="18"/>
          <w:szCs w:val="18"/>
        </w:rPr>
        <w:t xml:space="preserve"> European Commission (2008). Commission recommendation of 3 October 2008 on the active inclusion of people excluded from the labour market. Brussels: European Commission</w:t>
      </w:r>
      <w:r w:rsidR="002D54F2">
        <w:rPr>
          <w:sz w:val="18"/>
          <w:szCs w:val="18"/>
        </w:rPr>
        <w:t>.</w:t>
      </w:r>
    </w:p>
  </w:footnote>
  <w:footnote w:id="5">
    <w:p w14:paraId="49DE07FF" w14:textId="77777777" w:rsidR="0000151D" w:rsidRPr="0000151D" w:rsidRDefault="0000151D" w:rsidP="0000151D">
      <w:pPr>
        <w:pStyle w:val="FootnoteText"/>
        <w:rPr>
          <w:rFonts w:cs="Arial"/>
          <w:sz w:val="18"/>
          <w:szCs w:val="18"/>
        </w:rPr>
      </w:pPr>
      <w:r w:rsidRPr="0000151D">
        <w:rPr>
          <w:rStyle w:val="FootnoteReference"/>
          <w:rFonts w:cs="Arial"/>
          <w:sz w:val="18"/>
          <w:szCs w:val="18"/>
        </w:rPr>
        <w:footnoteRef/>
      </w:r>
      <w:r w:rsidRPr="0000151D">
        <w:rPr>
          <w:rFonts w:cs="Arial"/>
          <w:sz w:val="18"/>
          <w:szCs w:val="18"/>
        </w:rPr>
        <w:t xml:space="preserve"> Tim </w:t>
      </w:r>
      <w:proofErr w:type="spellStart"/>
      <w:r w:rsidRPr="0000151D">
        <w:rPr>
          <w:rFonts w:cs="Arial"/>
          <w:sz w:val="18"/>
          <w:szCs w:val="18"/>
        </w:rPr>
        <w:t>Goudemé</w:t>
      </w:r>
      <w:proofErr w:type="spellEnd"/>
      <w:r w:rsidRPr="0000151D">
        <w:rPr>
          <w:rFonts w:cs="Arial"/>
          <w:sz w:val="18"/>
          <w:szCs w:val="18"/>
        </w:rPr>
        <w:t>, Berenice Storms, Karel van den Bosch.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21C15" w14:textId="77777777" w:rsidR="008706D9" w:rsidRDefault="00EB2612" w:rsidP="008706D9">
    <w:pPr>
      <w:pStyle w:val="Header"/>
      <w:tabs>
        <w:tab w:val="clear" w:pos="8640"/>
        <w:tab w:val="left" w:pos="7760"/>
        <w:tab w:val="right" w:pos="9639"/>
      </w:tabs>
      <w:rPr>
        <w:rFonts w:cs="Arial"/>
        <w:b/>
        <w:color w:val="009BDA"/>
        <w:sz w:val="26"/>
      </w:rPr>
    </w:pPr>
    <w:r>
      <w:rPr>
        <w:noProof/>
        <w:lang w:eastAsia="en-GB"/>
      </w:rPr>
      <w:drawing>
        <wp:anchor distT="0" distB="0" distL="114300" distR="114300" simplePos="0" relativeHeight="251660800" behindDoc="1" locked="0" layoutInCell="1" allowOverlap="1" wp14:anchorId="7E421C22" wp14:editId="7E421C23">
          <wp:simplePos x="0" y="0"/>
          <wp:positionH relativeFrom="column">
            <wp:posOffset>5589270</wp:posOffset>
          </wp:positionH>
          <wp:positionV relativeFrom="paragraph">
            <wp:posOffset>-374015</wp:posOffset>
          </wp:positionV>
          <wp:extent cx="873760" cy="1036320"/>
          <wp:effectExtent l="19050" t="0" r="2540" b="0"/>
          <wp:wrapNone/>
          <wp:docPr id="52" name="Picture 51" descr="pe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etals"/>
                  <pic:cNvPicPr>
                    <a:picLocks noChangeAspect="1" noChangeArrowheads="1"/>
                  </pic:cNvPicPr>
                </pic:nvPicPr>
                <pic:blipFill>
                  <a:blip r:embed="rId1"/>
                  <a:srcRect/>
                  <a:stretch>
                    <a:fillRect/>
                  </a:stretch>
                </pic:blipFill>
                <pic:spPr bwMode="auto">
                  <a:xfrm>
                    <a:off x="0" y="0"/>
                    <a:ext cx="873760" cy="1036320"/>
                  </a:xfrm>
                  <a:prstGeom prst="rect">
                    <a:avLst/>
                  </a:prstGeom>
                  <a:noFill/>
                </pic:spPr>
              </pic:pic>
            </a:graphicData>
          </a:graphic>
        </wp:anchor>
      </w:drawing>
    </w:r>
    <w:r>
      <w:rPr>
        <w:noProof/>
        <w:lang w:eastAsia="en-GB"/>
      </w:rPr>
      <w:drawing>
        <wp:inline distT="0" distB="0" distL="0" distR="0" wp14:anchorId="7E421C24" wp14:editId="7E421C25">
          <wp:extent cx="2884170" cy="552450"/>
          <wp:effectExtent l="19050" t="0" r="0" b="0"/>
          <wp:docPr id="1" name="Picture 1" descr="eurodiaconia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diaconia_logo_color"/>
                  <pic:cNvPicPr>
                    <a:picLocks noChangeAspect="1" noChangeArrowheads="1"/>
                  </pic:cNvPicPr>
                </pic:nvPicPr>
                <pic:blipFill>
                  <a:blip r:embed="rId2"/>
                  <a:srcRect/>
                  <a:stretch>
                    <a:fillRect/>
                  </a:stretch>
                </pic:blipFill>
                <pic:spPr bwMode="auto">
                  <a:xfrm>
                    <a:off x="0" y="0"/>
                    <a:ext cx="2884170" cy="552450"/>
                  </a:xfrm>
                  <a:prstGeom prst="rect">
                    <a:avLst/>
                  </a:prstGeom>
                  <a:noFill/>
                  <a:ln w="9525">
                    <a:noFill/>
                    <a:miter lim="800000"/>
                    <a:headEnd/>
                    <a:tailEnd/>
                  </a:ln>
                </pic:spPr>
              </pic:pic>
            </a:graphicData>
          </a:graphic>
        </wp:inline>
      </w:drawing>
    </w:r>
    <w:r w:rsidR="008706D9">
      <w:tab/>
    </w:r>
    <w:r w:rsidR="008706D9">
      <w:tab/>
    </w:r>
    <w:r w:rsidR="008706D9">
      <w:tab/>
    </w:r>
  </w:p>
  <w:p w14:paraId="7E421C16" w14:textId="77777777" w:rsidR="008706D9" w:rsidRDefault="008706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21C1B" w14:textId="77777777" w:rsidR="008706D9" w:rsidRDefault="00EB2612" w:rsidP="008706D9">
    <w:pPr>
      <w:pStyle w:val="Header"/>
      <w:tabs>
        <w:tab w:val="clear" w:pos="8640"/>
        <w:tab w:val="left" w:pos="7760"/>
        <w:tab w:val="right" w:pos="9639"/>
      </w:tabs>
    </w:pPr>
    <w:r>
      <w:rPr>
        <w:noProof/>
        <w:lang w:eastAsia="en-GB"/>
      </w:rPr>
      <w:drawing>
        <wp:inline distT="0" distB="0" distL="0" distR="0" wp14:anchorId="7E421C28" wp14:editId="7E421C29">
          <wp:extent cx="2884170" cy="552450"/>
          <wp:effectExtent l="19050" t="0" r="0" b="0"/>
          <wp:docPr id="2" name="Picture 2" descr="eurodiaconia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diaconia_logo_color"/>
                  <pic:cNvPicPr>
                    <a:picLocks noChangeAspect="1" noChangeArrowheads="1"/>
                  </pic:cNvPicPr>
                </pic:nvPicPr>
                <pic:blipFill>
                  <a:blip r:embed="rId1"/>
                  <a:srcRect/>
                  <a:stretch>
                    <a:fillRect/>
                  </a:stretch>
                </pic:blipFill>
                <pic:spPr bwMode="auto">
                  <a:xfrm>
                    <a:off x="0" y="0"/>
                    <a:ext cx="2884170" cy="552450"/>
                  </a:xfrm>
                  <a:prstGeom prst="rect">
                    <a:avLst/>
                  </a:prstGeom>
                  <a:noFill/>
                  <a:ln w="9525">
                    <a:noFill/>
                    <a:miter lim="800000"/>
                    <a:headEnd/>
                    <a:tailEnd/>
                  </a:ln>
                </pic:spPr>
              </pic:pic>
            </a:graphicData>
          </a:graphic>
        </wp:inline>
      </w:drawing>
    </w:r>
    <w:r>
      <w:rPr>
        <w:noProof/>
        <w:lang w:eastAsia="en-GB"/>
      </w:rPr>
      <w:drawing>
        <wp:anchor distT="0" distB="0" distL="114300" distR="114300" simplePos="0" relativeHeight="251659776" behindDoc="1" locked="0" layoutInCell="1" allowOverlap="1" wp14:anchorId="7E421C2A" wp14:editId="7E421C2B">
          <wp:simplePos x="0" y="0"/>
          <wp:positionH relativeFrom="column">
            <wp:posOffset>5599430</wp:posOffset>
          </wp:positionH>
          <wp:positionV relativeFrom="paragraph">
            <wp:posOffset>-353695</wp:posOffset>
          </wp:positionV>
          <wp:extent cx="873760" cy="1036320"/>
          <wp:effectExtent l="19050" t="0" r="2540" b="0"/>
          <wp:wrapNone/>
          <wp:docPr id="51" name="Picture 50" descr="pe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etals"/>
                  <pic:cNvPicPr>
                    <a:picLocks noChangeAspect="1" noChangeArrowheads="1"/>
                  </pic:cNvPicPr>
                </pic:nvPicPr>
                <pic:blipFill>
                  <a:blip r:embed="rId2"/>
                  <a:srcRect/>
                  <a:stretch>
                    <a:fillRect/>
                  </a:stretch>
                </pic:blipFill>
                <pic:spPr bwMode="auto">
                  <a:xfrm>
                    <a:off x="0" y="0"/>
                    <a:ext cx="873760" cy="1036320"/>
                  </a:xfrm>
                  <a:prstGeom prst="rect">
                    <a:avLst/>
                  </a:prstGeom>
                  <a:noFill/>
                </pic:spPr>
              </pic:pic>
            </a:graphicData>
          </a:graphic>
        </wp:anchor>
      </w:drawing>
    </w:r>
    <w:r w:rsidR="008706D9">
      <w:tab/>
    </w:r>
    <w:r w:rsidR="008706D9">
      <w:tab/>
    </w:r>
    <w:r w:rsidR="008706D9">
      <w:tab/>
    </w:r>
  </w:p>
  <w:p w14:paraId="7E421C1C" w14:textId="77777777" w:rsidR="008706D9" w:rsidRPr="00D06E74" w:rsidRDefault="008706D9">
    <w:pPr>
      <w:pStyle w:val="Header"/>
      <w:rPr>
        <w:color w:val="009BDA"/>
        <w:vertAlign w:val="subscri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220C"/>
    <w:multiLevelType w:val="multilevel"/>
    <w:tmpl w:val="C7D8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74A14"/>
    <w:multiLevelType w:val="multilevel"/>
    <w:tmpl w:val="2600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3510C"/>
    <w:multiLevelType w:val="hybridMultilevel"/>
    <w:tmpl w:val="B57AB618"/>
    <w:lvl w:ilvl="0" w:tplc="237236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44C20"/>
    <w:multiLevelType w:val="hybridMultilevel"/>
    <w:tmpl w:val="74020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648D3"/>
    <w:multiLevelType w:val="hybridMultilevel"/>
    <w:tmpl w:val="21A8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F3299"/>
    <w:multiLevelType w:val="hybridMultilevel"/>
    <w:tmpl w:val="8FA64106"/>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B52356"/>
    <w:multiLevelType w:val="hybridMultilevel"/>
    <w:tmpl w:val="94FE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C09CC"/>
    <w:multiLevelType w:val="hybridMultilevel"/>
    <w:tmpl w:val="1DA4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1221B"/>
    <w:multiLevelType w:val="hybridMultilevel"/>
    <w:tmpl w:val="23F26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A817F4"/>
    <w:multiLevelType w:val="hybridMultilevel"/>
    <w:tmpl w:val="54F486A4"/>
    <w:lvl w:ilvl="0" w:tplc="F3E65B2E">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D667B2"/>
    <w:multiLevelType w:val="multilevel"/>
    <w:tmpl w:val="D312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0236D1"/>
    <w:multiLevelType w:val="hybridMultilevel"/>
    <w:tmpl w:val="437C5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7B2D16"/>
    <w:multiLevelType w:val="hybridMultilevel"/>
    <w:tmpl w:val="D95427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0C717F"/>
    <w:multiLevelType w:val="hybridMultilevel"/>
    <w:tmpl w:val="B42E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077E21"/>
    <w:multiLevelType w:val="hybridMultilevel"/>
    <w:tmpl w:val="524A3594"/>
    <w:lvl w:ilvl="0" w:tplc="AEA44714">
      <w:start w:val="1"/>
      <w:numFmt w:val="decimal"/>
      <w:lvlText w:val="%1."/>
      <w:lvlJc w:val="left"/>
      <w:pPr>
        <w:tabs>
          <w:tab w:val="num" w:pos="1440"/>
        </w:tabs>
        <w:ind w:left="1440" w:hanging="360"/>
      </w:pPr>
      <w:rPr>
        <w:rFonts w:hint="default"/>
        <w:b/>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num w:numId="1">
    <w:abstractNumId w:val="3"/>
  </w:num>
  <w:num w:numId="2">
    <w:abstractNumId w:val="7"/>
  </w:num>
  <w:num w:numId="3">
    <w:abstractNumId w:val="13"/>
  </w:num>
  <w:num w:numId="4">
    <w:abstractNumId w:val="8"/>
  </w:num>
  <w:num w:numId="5">
    <w:abstractNumId w:val="5"/>
  </w:num>
  <w:num w:numId="6">
    <w:abstractNumId w:val="14"/>
  </w:num>
  <w:num w:numId="7">
    <w:abstractNumId w:val="0"/>
  </w:num>
  <w:num w:numId="8">
    <w:abstractNumId w:val="10"/>
  </w:num>
  <w:num w:numId="9">
    <w:abstractNumId w:val="1"/>
  </w:num>
  <w:num w:numId="10">
    <w:abstractNumId w:val="12"/>
  </w:num>
  <w:num w:numId="11">
    <w:abstractNumId w:val="2"/>
  </w:num>
  <w:num w:numId="12">
    <w:abstractNumId w:val="9"/>
  </w:num>
  <w:num w:numId="13">
    <w:abstractNumId w:val="6"/>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009bd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BF"/>
    <w:rsid w:val="00000450"/>
    <w:rsid w:val="0000151D"/>
    <w:rsid w:val="00002243"/>
    <w:rsid w:val="00002321"/>
    <w:rsid w:val="0000698F"/>
    <w:rsid w:val="00012EF3"/>
    <w:rsid w:val="00031A8A"/>
    <w:rsid w:val="00034445"/>
    <w:rsid w:val="00035EDA"/>
    <w:rsid w:val="00040D99"/>
    <w:rsid w:val="000470FF"/>
    <w:rsid w:val="00051CFC"/>
    <w:rsid w:val="0005310E"/>
    <w:rsid w:val="00054DBE"/>
    <w:rsid w:val="00057D66"/>
    <w:rsid w:val="0006073D"/>
    <w:rsid w:val="000713F1"/>
    <w:rsid w:val="00074EDB"/>
    <w:rsid w:val="000761F5"/>
    <w:rsid w:val="000775BF"/>
    <w:rsid w:val="00077DFD"/>
    <w:rsid w:val="00082774"/>
    <w:rsid w:val="00087ED6"/>
    <w:rsid w:val="00090719"/>
    <w:rsid w:val="000A3487"/>
    <w:rsid w:val="000A728B"/>
    <w:rsid w:val="000A7C56"/>
    <w:rsid w:val="000B7AF1"/>
    <w:rsid w:val="000C07F6"/>
    <w:rsid w:val="000C0A5B"/>
    <w:rsid w:val="000D1479"/>
    <w:rsid w:val="000D39AA"/>
    <w:rsid w:val="000D6EE7"/>
    <w:rsid w:val="000E43E9"/>
    <w:rsid w:val="000E4709"/>
    <w:rsid w:val="000F3443"/>
    <w:rsid w:val="000F50D9"/>
    <w:rsid w:val="001009C9"/>
    <w:rsid w:val="00101BCB"/>
    <w:rsid w:val="00110992"/>
    <w:rsid w:val="00111C4B"/>
    <w:rsid w:val="001149C5"/>
    <w:rsid w:val="00124900"/>
    <w:rsid w:val="00132422"/>
    <w:rsid w:val="00132B09"/>
    <w:rsid w:val="00134005"/>
    <w:rsid w:val="001408CA"/>
    <w:rsid w:val="00151A35"/>
    <w:rsid w:val="001645F2"/>
    <w:rsid w:val="00170A87"/>
    <w:rsid w:val="00173E13"/>
    <w:rsid w:val="00186D60"/>
    <w:rsid w:val="00193963"/>
    <w:rsid w:val="001939C1"/>
    <w:rsid w:val="001A7D1F"/>
    <w:rsid w:val="001B125C"/>
    <w:rsid w:val="001B5341"/>
    <w:rsid w:val="001C114D"/>
    <w:rsid w:val="001C279C"/>
    <w:rsid w:val="001C3A97"/>
    <w:rsid w:val="001C522A"/>
    <w:rsid w:val="001C5DB7"/>
    <w:rsid w:val="001D0EE4"/>
    <w:rsid w:val="001D2454"/>
    <w:rsid w:val="001D78A3"/>
    <w:rsid w:val="001E5BB2"/>
    <w:rsid w:val="001F1ACC"/>
    <w:rsid w:val="001F1CDE"/>
    <w:rsid w:val="001F391F"/>
    <w:rsid w:val="0020753E"/>
    <w:rsid w:val="00223514"/>
    <w:rsid w:val="00225D08"/>
    <w:rsid w:val="002272DA"/>
    <w:rsid w:val="00227B6D"/>
    <w:rsid w:val="002331CD"/>
    <w:rsid w:val="002346EC"/>
    <w:rsid w:val="002425E1"/>
    <w:rsid w:val="0024670C"/>
    <w:rsid w:val="002614E5"/>
    <w:rsid w:val="002718CE"/>
    <w:rsid w:val="00276A9B"/>
    <w:rsid w:val="002821DC"/>
    <w:rsid w:val="00283AD3"/>
    <w:rsid w:val="00286A38"/>
    <w:rsid w:val="00291FAA"/>
    <w:rsid w:val="002936E9"/>
    <w:rsid w:val="002A100A"/>
    <w:rsid w:val="002B0ED4"/>
    <w:rsid w:val="002B4A1F"/>
    <w:rsid w:val="002C12B0"/>
    <w:rsid w:val="002C4041"/>
    <w:rsid w:val="002C429D"/>
    <w:rsid w:val="002D09DE"/>
    <w:rsid w:val="002D4E42"/>
    <w:rsid w:val="002D54F2"/>
    <w:rsid w:val="002E0CED"/>
    <w:rsid w:val="002E2972"/>
    <w:rsid w:val="002F19FB"/>
    <w:rsid w:val="002F3F90"/>
    <w:rsid w:val="0030327E"/>
    <w:rsid w:val="00305331"/>
    <w:rsid w:val="00311A2B"/>
    <w:rsid w:val="00322DD8"/>
    <w:rsid w:val="00332CD9"/>
    <w:rsid w:val="00334DE4"/>
    <w:rsid w:val="00353140"/>
    <w:rsid w:val="00353E31"/>
    <w:rsid w:val="00372F1A"/>
    <w:rsid w:val="00374B03"/>
    <w:rsid w:val="00380551"/>
    <w:rsid w:val="003845B7"/>
    <w:rsid w:val="00385C5F"/>
    <w:rsid w:val="003932A2"/>
    <w:rsid w:val="00393BD4"/>
    <w:rsid w:val="003949E6"/>
    <w:rsid w:val="003A28A1"/>
    <w:rsid w:val="003A5743"/>
    <w:rsid w:val="003B55F2"/>
    <w:rsid w:val="003C0C87"/>
    <w:rsid w:val="003C19D2"/>
    <w:rsid w:val="003C1F5D"/>
    <w:rsid w:val="003D6613"/>
    <w:rsid w:val="003E01CD"/>
    <w:rsid w:val="003E35A0"/>
    <w:rsid w:val="003E52CD"/>
    <w:rsid w:val="003F5C02"/>
    <w:rsid w:val="00400097"/>
    <w:rsid w:val="004011B9"/>
    <w:rsid w:val="004045F5"/>
    <w:rsid w:val="00407A93"/>
    <w:rsid w:val="00411F9B"/>
    <w:rsid w:val="00413490"/>
    <w:rsid w:val="00422502"/>
    <w:rsid w:val="00426ED8"/>
    <w:rsid w:val="00443B4E"/>
    <w:rsid w:val="004526F3"/>
    <w:rsid w:val="004538C2"/>
    <w:rsid w:val="00456951"/>
    <w:rsid w:val="00462C0B"/>
    <w:rsid w:val="00465CEB"/>
    <w:rsid w:val="00466F79"/>
    <w:rsid w:val="00471E28"/>
    <w:rsid w:val="00474EAD"/>
    <w:rsid w:val="00476239"/>
    <w:rsid w:val="004766DE"/>
    <w:rsid w:val="00484518"/>
    <w:rsid w:val="00487EF9"/>
    <w:rsid w:val="00496179"/>
    <w:rsid w:val="004A3199"/>
    <w:rsid w:val="004A3A23"/>
    <w:rsid w:val="004A4086"/>
    <w:rsid w:val="004A6535"/>
    <w:rsid w:val="004A7E9F"/>
    <w:rsid w:val="004B2BC6"/>
    <w:rsid w:val="004B5667"/>
    <w:rsid w:val="004C1979"/>
    <w:rsid w:val="004C4F59"/>
    <w:rsid w:val="004D1D2C"/>
    <w:rsid w:val="004D656E"/>
    <w:rsid w:val="004E17FD"/>
    <w:rsid w:val="004E6C09"/>
    <w:rsid w:val="004E755B"/>
    <w:rsid w:val="004E7887"/>
    <w:rsid w:val="00502742"/>
    <w:rsid w:val="00506A69"/>
    <w:rsid w:val="00507900"/>
    <w:rsid w:val="00511B30"/>
    <w:rsid w:val="005132B7"/>
    <w:rsid w:val="00515040"/>
    <w:rsid w:val="005220CA"/>
    <w:rsid w:val="00527689"/>
    <w:rsid w:val="00536BF8"/>
    <w:rsid w:val="00540EA2"/>
    <w:rsid w:val="00541674"/>
    <w:rsid w:val="00541AB3"/>
    <w:rsid w:val="005450FA"/>
    <w:rsid w:val="005508CA"/>
    <w:rsid w:val="005517DA"/>
    <w:rsid w:val="0055605F"/>
    <w:rsid w:val="005602A2"/>
    <w:rsid w:val="00564FF8"/>
    <w:rsid w:val="00567DB2"/>
    <w:rsid w:val="0057042F"/>
    <w:rsid w:val="0057311F"/>
    <w:rsid w:val="005758B3"/>
    <w:rsid w:val="00585992"/>
    <w:rsid w:val="005A2F06"/>
    <w:rsid w:val="005B09A5"/>
    <w:rsid w:val="005B2E62"/>
    <w:rsid w:val="005B3305"/>
    <w:rsid w:val="005B46DA"/>
    <w:rsid w:val="005B7D7E"/>
    <w:rsid w:val="005C25D1"/>
    <w:rsid w:val="005C405A"/>
    <w:rsid w:val="005C78E3"/>
    <w:rsid w:val="005D270D"/>
    <w:rsid w:val="005D3918"/>
    <w:rsid w:val="005E00E3"/>
    <w:rsid w:val="005E692E"/>
    <w:rsid w:val="005F5885"/>
    <w:rsid w:val="005F7FD9"/>
    <w:rsid w:val="0060185C"/>
    <w:rsid w:val="00613935"/>
    <w:rsid w:val="006166E5"/>
    <w:rsid w:val="006170AA"/>
    <w:rsid w:val="00617F9C"/>
    <w:rsid w:val="006270D3"/>
    <w:rsid w:val="0063395C"/>
    <w:rsid w:val="0063452F"/>
    <w:rsid w:val="00636D79"/>
    <w:rsid w:val="006379D1"/>
    <w:rsid w:val="0064162A"/>
    <w:rsid w:val="00646E32"/>
    <w:rsid w:val="00652B5D"/>
    <w:rsid w:val="0065594A"/>
    <w:rsid w:val="006567BA"/>
    <w:rsid w:val="00656EA7"/>
    <w:rsid w:val="00657A8E"/>
    <w:rsid w:val="00661815"/>
    <w:rsid w:val="0066358B"/>
    <w:rsid w:val="00663EF9"/>
    <w:rsid w:val="00670A69"/>
    <w:rsid w:val="00674022"/>
    <w:rsid w:val="00681E70"/>
    <w:rsid w:val="00683382"/>
    <w:rsid w:val="00687AEB"/>
    <w:rsid w:val="00687C17"/>
    <w:rsid w:val="006913CF"/>
    <w:rsid w:val="006A0263"/>
    <w:rsid w:val="006A14DC"/>
    <w:rsid w:val="006A27E3"/>
    <w:rsid w:val="006B3A8D"/>
    <w:rsid w:val="006B3FB1"/>
    <w:rsid w:val="006B4FEC"/>
    <w:rsid w:val="006B5EB1"/>
    <w:rsid w:val="006C4089"/>
    <w:rsid w:val="006C4CCF"/>
    <w:rsid w:val="006D3547"/>
    <w:rsid w:val="006D3ED5"/>
    <w:rsid w:val="006D75AB"/>
    <w:rsid w:val="006F0250"/>
    <w:rsid w:val="006F6C1D"/>
    <w:rsid w:val="006F7CEA"/>
    <w:rsid w:val="0070078A"/>
    <w:rsid w:val="00700F99"/>
    <w:rsid w:val="00702444"/>
    <w:rsid w:val="00705B74"/>
    <w:rsid w:val="00727291"/>
    <w:rsid w:val="00730F89"/>
    <w:rsid w:val="00733FE9"/>
    <w:rsid w:val="0073779F"/>
    <w:rsid w:val="00740CDF"/>
    <w:rsid w:val="007469E3"/>
    <w:rsid w:val="00747F7D"/>
    <w:rsid w:val="0075156A"/>
    <w:rsid w:val="00756D7E"/>
    <w:rsid w:val="00762F6F"/>
    <w:rsid w:val="00763D38"/>
    <w:rsid w:val="007724BE"/>
    <w:rsid w:val="007731D8"/>
    <w:rsid w:val="00781811"/>
    <w:rsid w:val="00784992"/>
    <w:rsid w:val="007875BF"/>
    <w:rsid w:val="00787F99"/>
    <w:rsid w:val="007902D2"/>
    <w:rsid w:val="00793FE5"/>
    <w:rsid w:val="00797166"/>
    <w:rsid w:val="007A4154"/>
    <w:rsid w:val="007A5073"/>
    <w:rsid w:val="007B2E5D"/>
    <w:rsid w:val="007B5009"/>
    <w:rsid w:val="007D2CB1"/>
    <w:rsid w:val="007D325D"/>
    <w:rsid w:val="007D41D8"/>
    <w:rsid w:val="007D69D8"/>
    <w:rsid w:val="007E3E8E"/>
    <w:rsid w:val="007F14AC"/>
    <w:rsid w:val="007F7908"/>
    <w:rsid w:val="00801A87"/>
    <w:rsid w:val="00804EE7"/>
    <w:rsid w:val="00821681"/>
    <w:rsid w:val="00823082"/>
    <w:rsid w:val="0083053C"/>
    <w:rsid w:val="00830A45"/>
    <w:rsid w:val="008342D8"/>
    <w:rsid w:val="00835DA5"/>
    <w:rsid w:val="00852C10"/>
    <w:rsid w:val="00853117"/>
    <w:rsid w:val="00861E09"/>
    <w:rsid w:val="00864AD1"/>
    <w:rsid w:val="008678DD"/>
    <w:rsid w:val="008706D9"/>
    <w:rsid w:val="00871444"/>
    <w:rsid w:val="0087312B"/>
    <w:rsid w:val="00885195"/>
    <w:rsid w:val="008939E2"/>
    <w:rsid w:val="008B3394"/>
    <w:rsid w:val="008C2894"/>
    <w:rsid w:val="008C71FC"/>
    <w:rsid w:val="008D0884"/>
    <w:rsid w:val="008D33B7"/>
    <w:rsid w:val="008D5D49"/>
    <w:rsid w:val="008F5E11"/>
    <w:rsid w:val="008F6729"/>
    <w:rsid w:val="00904246"/>
    <w:rsid w:val="00910BE1"/>
    <w:rsid w:val="00913F46"/>
    <w:rsid w:val="009168A5"/>
    <w:rsid w:val="009213E1"/>
    <w:rsid w:val="0092205A"/>
    <w:rsid w:val="00922440"/>
    <w:rsid w:val="00930FFC"/>
    <w:rsid w:val="009314CC"/>
    <w:rsid w:val="00934FCD"/>
    <w:rsid w:val="00942F17"/>
    <w:rsid w:val="009474F0"/>
    <w:rsid w:val="00954CFC"/>
    <w:rsid w:val="00957134"/>
    <w:rsid w:val="009639CB"/>
    <w:rsid w:val="00964DD3"/>
    <w:rsid w:val="00967DBC"/>
    <w:rsid w:val="00976C02"/>
    <w:rsid w:val="00980B47"/>
    <w:rsid w:val="0098477F"/>
    <w:rsid w:val="00993BA1"/>
    <w:rsid w:val="0099457C"/>
    <w:rsid w:val="00995B74"/>
    <w:rsid w:val="00996710"/>
    <w:rsid w:val="009A180A"/>
    <w:rsid w:val="009A7204"/>
    <w:rsid w:val="009A7365"/>
    <w:rsid w:val="009B4B24"/>
    <w:rsid w:val="009B639E"/>
    <w:rsid w:val="009C30A4"/>
    <w:rsid w:val="009C56CC"/>
    <w:rsid w:val="009D33F4"/>
    <w:rsid w:val="009D4484"/>
    <w:rsid w:val="009E68F7"/>
    <w:rsid w:val="009F50BF"/>
    <w:rsid w:val="009F72E4"/>
    <w:rsid w:val="00A00931"/>
    <w:rsid w:val="00A15DD7"/>
    <w:rsid w:val="00A25EE6"/>
    <w:rsid w:val="00A262FA"/>
    <w:rsid w:val="00A30D4A"/>
    <w:rsid w:val="00A31697"/>
    <w:rsid w:val="00A352F8"/>
    <w:rsid w:val="00A46005"/>
    <w:rsid w:val="00A47739"/>
    <w:rsid w:val="00A5051F"/>
    <w:rsid w:val="00A53BC0"/>
    <w:rsid w:val="00A64140"/>
    <w:rsid w:val="00A642E2"/>
    <w:rsid w:val="00A70539"/>
    <w:rsid w:val="00A84726"/>
    <w:rsid w:val="00A876DC"/>
    <w:rsid w:val="00A87E58"/>
    <w:rsid w:val="00A95B53"/>
    <w:rsid w:val="00AA4B9B"/>
    <w:rsid w:val="00AC0CD0"/>
    <w:rsid w:val="00AC4F1D"/>
    <w:rsid w:val="00AC67EA"/>
    <w:rsid w:val="00AD13FE"/>
    <w:rsid w:val="00AD1F84"/>
    <w:rsid w:val="00AD30FB"/>
    <w:rsid w:val="00AD6D24"/>
    <w:rsid w:val="00AD7E15"/>
    <w:rsid w:val="00AE026B"/>
    <w:rsid w:val="00AE33A2"/>
    <w:rsid w:val="00AE478E"/>
    <w:rsid w:val="00B00499"/>
    <w:rsid w:val="00B02BC6"/>
    <w:rsid w:val="00B03840"/>
    <w:rsid w:val="00B05745"/>
    <w:rsid w:val="00B05B70"/>
    <w:rsid w:val="00B10887"/>
    <w:rsid w:val="00B24585"/>
    <w:rsid w:val="00B30D89"/>
    <w:rsid w:val="00B33F7B"/>
    <w:rsid w:val="00B37DDC"/>
    <w:rsid w:val="00B542EB"/>
    <w:rsid w:val="00B552DF"/>
    <w:rsid w:val="00B7405B"/>
    <w:rsid w:val="00B77AFA"/>
    <w:rsid w:val="00B81435"/>
    <w:rsid w:val="00B90EF9"/>
    <w:rsid w:val="00B94D9B"/>
    <w:rsid w:val="00BA52A9"/>
    <w:rsid w:val="00BB325A"/>
    <w:rsid w:val="00BC1D45"/>
    <w:rsid w:val="00BD04FF"/>
    <w:rsid w:val="00BD41C0"/>
    <w:rsid w:val="00BD54E1"/>
    <w:rsid w:val="00BE377F"/>
    <w:rsid w:val="00BE5E29"/>
    <w:rsid w:val="00BE7696"/>
    <w:rsid w:val="00BF0FC0"/>
    <w:rsid w:val="00C01A09"/>
    <w:rsid w:val="00C032C9"/>
    <w:rsid w:val="00C04D11"/>
    <w:rsid w:val="00C04E33"/>
    <w:rsid w:val="00C07CEA"/>
    <w:rsid w:val="00C11BCD"/>
    <w:rsid w:val="00C12910"/>
    <w:rsid w:val="00C155FA"/>
    <w:rsid w:val="00C23FCF"/>
    <w:rsid w:val="00C27A65"/>
    <w:rsid w:val="00C27AD3"/>
    <w:rsid w:val="00C31AD1"/>
    <w:rsid w:val="00C35444"/>
    <w:rsid w:val="00C361FF"/>
    <w:rsid w:val="00C4662B"/>
    <w:rsid w:val="00C50F93"/>
    <w:rsid w:val="00C53D91"/>
    <w:rsid w:val="00C602C0"/>
    <w:rsid w:val="00C607ED"/>
    <w:rsid w:val="00C641FF"/>
    <w:rsid w:val="00C67C7A"/>
    <w:rsid w:val="00C76317"/>
    <w:rsid w:val="00C81732"/>
    <w:rsid w:val="00C93F3E"/>
    <w:rsid w:val="00C955AD"/>
    <w:rsid w:val="00CA638A"/>
    <w:rsid w:val="00CA6EF1"/>
    <w:rsid w:val="00CB17A9"/>
    <w:rsid w:val="00CB708A"/>
    <w:rsid w:val="00CC08C0"/>
    <w:rsid w:val="00CC5862"/>
    <w:rsid w:val="00CC73FB"/>
    <w:rsid w:val="00CC7AA4"/>
    <w:rsid w:val="00CE6E3F"/>
    <w:rsid w:val="00D0187D"/>
    <w:rsid w:val="00D03F86"/>
    <w:rsid w:val="00D10B94"/>
    <w:rsid w:val="00D11F54"/>
    <w:rsid w:val="00D13D53"/>
    <w:rsid w:val="00D20CC0"/>
    <w:rsid w:val="00D26DE0"/>
    <w:rsid w:val="00D327E3"/>
    <w:rsid w:val="00D34034"/>
    <w:rsid w:val="00D43C90"/>
    <w:rsid w:val="00D47DB3"/>
    <w:rsid w:val="00D551A8"/>
    <w:rsid w:val="00D55F59"/>
    <w:rsid w:val="00D61666"/>
    <w:rsid w:val="00D658DA"/>
    <w:rsid w:val="00D66D25"/>
    <w:rsid w:val="00D75EE0"/>
    <w:rsid w:val="00D80DD3"/>
    <w:rsid w:val="00D83E04"/>
    <w:rsid w:val="00D91E59"/>
    <w:rsid w:val="00D97CC5"/>
    <w:rsid w:val="00DA06F2"/>
    <w:rsid w:val="00DA20F5"/>
    <w:rsid w:val="00DB1CAD"/>
    <w:rsid w:val="00DB3CE7"/>
    <w:rsid w:val="00DB7EC2"/>
    <w:rsid w:val="00DC27CD"/>
    <w:rsid w:val="00DD0C8C"/>
    <w:rsid w:val="00DD198F"/>
    <w:rsid w:val="00DD1FA5"/>
    <w:rsid w:val="00DD21CB"/>
    <w:rsid w:val="00DD3FCC"/>
    <w:rsid w:val="00DD6D8F"/>
    <w:rsid w:val="00DE14E9"/>
    <w:rsid w:val="00DE35A6"/>
    <w:rsid w:val="00DE5B4B"/>
    <w:rsid w:val="00DF299A"/>
    <w:rsid w:val="00E07CF9"/>
    <w:rsid w:val="00E1526D"/>
    <w:rsid w:val="00E176D6"/>
    <w:rsid w:val="00E20987"/>
    <w:rsid w:val="00E227E8"/>
    <w:rsid w:val="00E242AB"/>
    <w:rsid w:val="00E26C78"/>
    <w:rsid w:val="00E351FB"/>
    <w:rsid w:val="00E370BF"/>
    <w:rsid w:val="00E37EEF"/>
    <w:rsid w:val="00E42E7A"/>
    <w:rsid w:val="00E53AC6"/>
    <w:rsid w:val="00E65743"/>
    <w:rsid w:val="00E70443"/>
    <w:rsid w:val="00E72D9A"/>
    <w:rsid w:val="00E776D4"/>
    <w:rsid w:val="00E813F9"/>
    <w:rsid w:val="00E91432"/>
    <w:rsid w:val="00E926BD"/>
    <w:rsid w:val="00EA3B39"/>
    <w:rsid w:val="00EB0E56"/>
    <w:rsid w:val="00EB1CBD"/>
    <w:rsid w:val="00EB2612"/>
    <w:rsid w:val="00EC2503"/>
    <w:rsid w:val="00EC7D3D"/>
    <w:rsid w:val="00ED1C9B"/>
    <w:rsid w:val="00EE3174"/>
    <w:rsid w:val="00EE3A90"/>
    <w:rsid w:val="00EE481A"/>
    <w:rsid w:val="00EF6879"/>
    <w:rsid w:val="00F01BCF"/>
    <w:rsid w:val="00F02335"/>
    <w:rsid w:val="00F02C6A"/>
    <w:rsid w:val="00F030D4"/>
    <w:rsid w:val="00F17029"/>
    <w:rsid w:val="00F22319"/>
    <w:rsid w:val="00F225C2"/>
    <w:rsid w:val="00F25E32"/>
    <w:rsid w:val="00F36CBA"/>
    <w:rsid w:val="00F401D1"/>
    <w:rsid w:val="00F4289C"/>
    <w:rsid w:val="00F42BFD"/>
    <w:rsid w:val="00F45EEB"/>
    <w:rsid w:val="00F51CEB"/>
    <w:rsid w:val="00F57FB6"/>
    <w:rsid w:val="00F65E4B"/>
    <w:rsid w:val="00F75897"/>
    <w:rsid w:val="00F762C6"/>
    <w:rsid w:val="00F8339B"/>
    <w:rsid w:val="00F85259"/>
    <w:rsid w:val="00F86F3C"/>
    <w:rsid w:val="00F92322"/>
    <w:rsid w:val="00F93919"/>
    <w:rsid w:val="00FA633C"/>
    <w:rsid w:val="00FC3881"/>
    <w:rsid w:val="00FC3ABA"/>
    <w:rsid w:val="00FC5167"/>
    <w:rsid w:val="00FD1E4D"/>
    <w:rsid w:val="00FD33CD"/>
    <w:rsid w:val="00FE5DE3"/>
    <w:rsid w:val="00FF321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9bda"/>
    </o:shapedefaults>
    <o:shapelayout v:ext="edit">
      <o:idmap v:ext="edit" data="1"/>
    </o:shapelayout>
  </w:shapeDefaults>
  <w:decimalSymbol w:val="."/>
  <w:listSeparator w:val=","/>
  <w14:docId w14:val="7E421BE6"/>
  <w15:docId w15:val="{FB5F85AF-2771-455D-8FFB-C73BFB1E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681"/>
    <w:pPr>
      <w:spacing w:after="200" w:line="276" w:lineRule="auto"/>
    </w:pPr>
    <w:rPr>
      <w:rFonts w:ascii="Arial" w:eastAsia="Calibri" w:hAnsi="Arial"/>
      <w:szCs w:val="22"/>
      <w:lang w:eastAsia="en-US"/>
    </w:rPr>
  </w:style>
  <w:style w:type="paragraph" w:styleId="Heading1">
    <w:name w:val="heading 1"/>
    <w:basedOn w:val="Normal"/>
    <w:next w:val="Normal"/>
    <w:link w:val="Heading1Char"/>
    <w:uiPriority w:val="9"/>
    <w:qFormat/>
    <w:rsid w:val="00830A45"/>
    <w:pPr>
      <w:keepNext/>
      <w:keepLines/>
      <w:spacing w:before="480"/>
      <w:outlineLvl w:val="0"/>
    </w:pPr>
    <w:rPr>
      <w:rFonts w:eastAsia="Times New Roman"/>
      <w:b/>
      <w:bCs/>
      <w:caps/>
      <w:color w:val="009BDA"/>
      <w:sz w:val="36"/>
      <w:szCs w:val="32"/>
    </w:rPr>
  </w:style>
  <w:style w:type="paragraph" w:styleId="Heading2">
    <w:name w:val="heading 2"/>
    <w:basedOn w:val="Normal"/>
    <w:next w:val="Normal"/>
    <w:link w:val="Heading2Char"/>
    <w:uiPriority w:val="9"/>
    <w:qFormat/>
    <w:rsid w:val="00871444"/>
    <w:pPr>
      <w:keepNext/>
      <w:keepLines/>
      <w:spacing w:before="200"/>
      <w:outlineLvl w:val="1"/>
    </w:pPr>
    <w:rPr>
      <w:rFonts w:eastAsia="Times New Roman"/>
      <w:b/>
      <w:bCs/>
      <w:color w:val="009BDA"/>
      <w:sz w:val="30"/>
      <w:szCs w:val="26"/>
    </w:rPr>
  </w:style>
  <w:style w:type="paragraph" w:styleId="Heading3">
    <w:name w:val="heading 3"/>
    <w:aliases w:val="Sub-heading"/>
    <w:basedOn w:val="Normal"/>
    <w:next w:val="Normal"/>
    <w:link w:val="Heading3Char"/>
    <w:uiPriority w:val="9"/>
    <w:qFormat/>
    <w:rsid w:val="00821681"/>
    <w:pPr>
      <w:keepNext/>
      <w:keepLines/>
      <w:spacing w:before="200"/>
      <w:outlineLvl w:val="2"/>
    </w:pPr>
    <w:rPr>
      <w:rFonts w:eastAsia="Times New Roman"/>
      <w:b/>
      <w:bCs/>
      <w:color w:val="009B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E74"/>
    <w:rPr>
      <w:color w:val="0000FF"/>
      <w:u w:val="single"/>
    </w:rPr>
  </w:style>
  <w:style w:type="character" w:customStyle="1" w:styleId="Heading1Char">
    <w:name w:val="Heading 1 Char"/>
    <w:basedOn w:val="DefaultParagraphFont"/>
    <w:link w:val="Heading1"/>
    <w:uiPriority w:val="9"/>
    <w:rsid w:val="00830A45"/>
    <w:rPr>
      <w:rFonts w:ascii="Arial" w:eastAsia="Times New Roman" w:hAnsi="Arial" w:cs="Times New Roman"/>
      <w:b/>
      <w:bCs/>
      <w:caps/>
      <w:color w:val="009BDA"/>
      <w:sz w:val="36"/>
      <w:szCs w:val="32"/>
    </w:rPr>
  </w:style>
  <w:style w:type="paragraph" w:styleId="Header">
    <w:name w:val="header"/>
    <w:basedOn w:val="Normal"/>
    <w:link w:val="HeaderChar"/>
    <w:uiPriority w:val="99"/>
    <w:unhideWhenUsed/>
    <w:rsid w:val="00830A45"/>
    <w:pPr>
      <w:tabs>
        <w:tab w:val="center" w:pos="4320"/>
        <w:tab w:val="right" w:pos="8640"/>
      </w:tabs>
    </w:pPr>
  </w:style>
  <w:style w:type="character" w:customStyle="1" w:styleId="HeaderChar">
    <w:name w:val="Header Char"/>
    <w:basedOn w:val="DefaultParagraphFont"/>
    <w:link w:val="Header"/>
    <w:uiPriority w:val="99"/>
    <w:rsid w:val="00830A45"/>
  </w:style>
  <w:style w:type="paragraph" w:styleId="Footer">
    <w:name w:val="footer"/>
    <w:basedOn w:val="Normal"/>
    <w:link w:val="FooterChar"/>
    <w:uiPriority w:val="99"/>
    <w:unhideWhenUsed/>
    <w:rsid w:val="00830A45"/>
    <w:pPr>
      <w:tabs>
        <w:tab w:val="center" w:pos="4320"/>
        <w:tab w:val="right" w:pos="8640"/>
      </w:tabs>
    </w:pPr>
  </w:style>
  <w:style w:type="character" w:customStyle="1" w:styleId="FooterChar">
    <w:name w:val="Footer Char"/>
    <w:basedOn w:val="DefaultParagraphFont"/>
    <w:link w:val="Footer"/>
    <w:uiPriority w:val="99"/>
    <w:rsid w:val="00830A45"/>
  </w:style>
  <w:style w:type="character" w:customStyle="1" w:styleId="Heading3Char">
    <w:name w:val="Heading 3 Char"/>
    <w:aliases w:val="Sub-heading Char"/>
    <w:basedOn w:val="DefaultParagraphFont"/>
    <w:link w:val="Heading3"/>
    <w:uiPriority w:val="9"/>
    <w:rsid w:val="00821681"/>
    <w:rPr>
      <w:rFonts w:ascii="Arial" w:eastAsia="Times New Roman" w:hAnsi="Arial"/>
      <w:b/>
      <w:bCs/>
      <w:color w:val="009BDA"/>
      <w:szCs w:val="22"/>
      <w:lang w:eastAsia="en-US"/>
    </w:rPr>
  </w:style>
  <w:style w:type="character" w:customStyle="1" w:styleId="Heading2Char">
    <w:name w:val="Heading 2 Char"/>
    <w:basedOn w:val="DefaultParagraphFont"/>
    <w:link w:val="Heading2"/>
    <w:uiPriority w:val="9"/>
    <w:rsid w:val="00871444"/>
    <w:rPr>
      <w:rFonts w:ascii="Arial" w:eastAsia="Times New Roman" w:hAnsi="Arial"/>
      <w:b/>
      <w:bCs/>
      <w:color w:val="009BDA"/>
      <w:sz w:val="30"/>
      <w:szCs w:val="26"/>
      <w:lang w:eastAsia="en-US"/>
    </w:rPr>
  </w:style>
  <w:style w:type="character" w:styleId="PageNumber">
    <w:name w:val="page number"/>
    <w:basedOn w:val="DefaultParagraphFont"/>
    <w:uiPriority w:val="99"/>
    <w:semiHidden/>
    <w:unhideWhenUsed/>
    <w:rsid w:val="00245280"/>
  </w:style>
  <w:style w:type="paragraph" w:styleId="BalloonText">
    <w:name w:val="Balloon Text"/>
    <w:basedOn w:val="Normal"/>
    <w:link w:val="BalloonTextChar"/>
    <w:uiPriority w:val="99"/>
    <w:semiHidden/>
    <w:unhideWhenUsed/>
    <w:rsid w:val="002C429D"/>
    <w:rPr>
      <w:rFonts w:ascii="Tahoma" w:hAnsi="Tahoma" w:cs="Tahoma"/>
      <w:sz w:val="16"/>
      <w:szCs w:val="16"/>
    </w:rPr>
  </w:style>
  <w:style w:type="character" w:customStyle="1" w:styleId="BalloonTextChar">
    <w:name w:val="Balloon Text Char"/>
    <w:basedOn w:val="DefaultParagraphFont"/>
    <w:link w:val="BalloonText"/>
    <w:uiPriority w:val="99"/>
    <w:semiHidden/>
    <w:rsid w:val="002C429D"/>
    <w:rPr>
      <w:rFonts w:ascii="Tahoma" w:hAnsi="Tahoma" w:cs="Tahoma"/>
      <w:sz w:val="16"/>
      <w:szCs w:val="16"/>
    </w:rPr>
  </w:style>
  <w:style w:type="paragraph" w:styleId="FootnoteText">
    <w:name w:val="footnote text"/>
    <w:basedOn w:val="Normal"/>
    <w:link w:val="FootnoteTextChar"/>
    <w:uiPriority w:val="99"/>
    <w:semiHidden/>
    <w:unhideWhenUsed/>
    <w:rsid w:val="00DE14E9"/>
    <w:rPr>
      <w:szCs w:val="20"/>
    </w:rPr>
  </w:style>
  <w:style w:type="character" w:customStyle="1" w:styleId="FootnoteTextChar">
    <w:name w:val="Footnote Text Char"/>
    <w:basedOn w:val="DefaultParagraphFont"/>
    <w:link w:val="FootnoteText"/>
    <w:uiPriority w:val="99"/>
    <w:semiHidden/>
    <w:rsid w:val="00DE14E9"/>
    <w:rPr>
      <w:rFonts w:ascii="Calibri" w:eastAsia="Calibri" w:hAnsi="Calibri"/>
      <w:lang w:val="en-GB"/>
    </w:rPr>
  </w:style>
  <w:style w:type="character" w:styleId="FootnoteReference">
    <w:name w:val="footnote reference"/>
    <w:basedOn w:val="DefaultParagraphFont"/>
    <w:uiPriority w:val="99"/>
    <w:semiHidden/>
    <w:unhideWhenUsed/>
    <w:rsid w:val="00DE14E9"/>
    <w:rPr>
      <w:vertAlign w:val="superscript"/>
    </w:rPr>
  </w:style>
  <w:style w:type="character" w:styleId="Strong">
    <w:name w:val="Strong"/>
    <w:basedOn w:val="DefaultParagraphFont"/>
    <w:uiPriority w:val="22"/>
    <w:qFormat/>
    <w:rsid w:val="00DE14E9"/>
    <w:rPr>
      <w:b/>
      <w:bCs/>
    </w:rPr>
  </w:style>
  <w:style w:type="paragraph" w:customStyle="1" w:styleId="Default">
    <w:name w:val="Default"/>
    <w:rsid w:val="00DE14E9"/>
    <w:pPr>
      <w:autoSpaceDE w:val="0"/>
      <w:autoSpaceDN w:val="0"/>
      <w:adjustRightInd w:val="0"/>
    </w:pPr>
    <w:rPr>
      <w:rFonts w:ascii="Gill Sans MT" w:eastAsia="Calibri" w:hAnsi="Gill Sans MT" w:cs="Gill Sans MT"/>
      <w:color w:val="000000"/>
      <w:sz w:val="24"/>
      <w:szCs w:val="24"/>
      <w:lang w:eastAsia="en-US"/>
    </w:rPr>
  </w:style>
  <w:style w:type="paragraph" w:styleId="ListParagraph">
    <w:name w:val="List Paragraph"/>
    <w:basedOn w:val="Normal"/>
    <w:uiPriority w:val="72"/>
    <w:qFormat/>
    <w:rsid w:val="00DE14E9"/>
    <w:pPr>
      <w:ind w:left="720"/>
      <w:contextualSpacing/>
    </w:pPr>
  </w:style>
  <w:style w:type="paragraph" w:styleId="Title">
    <w:name w:val="Title"/>
    <w:aliases w:val="Our recommendations"/>
    <w:basedOn w:val="Normal"/>
    <w:next w:val="Normal"/>
    <w:link w:val="TitleChar"/>
    <w:uiPriority w:val="10"/>
    <w:qFormat/>
    <w:rsid w:val="00821681"/>
    <w:pPr>
      <w:spacing w:before="240" w:after="60"/>
      <w:outlineLvl w:val="0"/>
    </w:pPr>
    <w:rPr>
      <w:rFonts w:eastAsiaTheme="majorEastAsia" w:cstheme="majorBidi"/>
      <w:b/>
      <w:bCs/>
      <w:i/>
      <w:color w:val="009BDA"/>
      <w:kern w:val="28"/>
      <w:szCs w:val="32"/>
    </w:rPr>
  </w:style>
  <w:style w:type="character" w:customStyle="1" w:styleId="TitleChar">
    <w:name w:val="Title Char"/>
    <w:aliases w:val="Our recommendations Char"/>
    <w:basedOn w:val="DefaultParagraphFont"/>
    <w:link w:val="Title"/>
    <w:uiPriority w:val="10"/>
    <w:rsid w:val="00821681"/>
    <w:rPr>
      <w:rFonts w:ascii="Arial" w:eastAsiaTheme="majorEastAsia" w:hAnsi="Arial" w:cstheme="majorBidi"/>
      <w:b/>
      <w:bCs/>
      <w:i/>
      <w:color w:val="009BDA"/>
      <w:kern w:val="28"/>
      <w:szCs w:val="32"/>
      <w:lang w:eastAsia="en-US"/>
    </w:rPr>
  </w:style>
  <w:style w:type="character" w:customStyle="1" w:styleId="apple-converted-space">
    <w:name w:val="apple-converted-space"/>
    <w:rsid w:val="009F50BF"/>
  </w:style>
  <w:style w:type="character" w:styleId="Emphasis">
    <w:name w:val="Emphasis"/>
    <w:basedOn w:val="DefaultParagraphFont"/>
    <w:uiPriority w:val="20"/>
    <w:qFormat/>
    <w:rsid w:val="009F50BF"/>
    <w:rPr>
      <w:i/>
      <w:iCs/>
    </w:rPr>
  </w:style>
  <w:style w:type="paragraph" w:styleId="BodyText">
    <w:name w:val="Body Text"/>
    <w:basedOn w:val="Normal"/>
    <w:link w:val="BodyTextChar"/>
    <w:uiPriority w:val="99"/>
    <w:semiHidden/>
    <w:unhideWhenUsed/>
    <w:rsid w:val="00E65743"/>
    <w:pPr>
      <w:spacing w:after="120"/>
    </w:pPr>
  </w:style>
  <w:style w:type="character" w:customStyle="1" w:styleId="BodyTextChar">
    <w:name w:val="Body Text Char"/>
    <w:basedOn w:val="DefaultParagraphFont"/>
    <w:link w:val="BodyText"/>
    <w:uiPriority w:val="99"/>
    <w:semiHidden/>
    <w:rsid w:val="00E65743"/>
    <w:rPr>
      <w:rFonts w:ascii="Arial" w:eastAsia="Calibri" w:hAnsi="Arial"/>
      <w:szCs w:val="22"/>
      <w:lang w:eastAsia="en-US"/>
    </w:rPr>
  </w:style>
  <w:style w:type="paragraph" w:styleId="NormalWeb">
    <w:name w:val="Normal (Web)"/>
    <w:basedOn w:val="Normal"/>
    <w:uiPriority w:val="99"/>
    <w:semiHidden/>
    <w:unhideWhenUsed/>
    <w:rsid w:val="000E43E9"/>
    <w:rPr>
      <w:rFonts w:ascii="Times New Roman" w:hAnsi="Times New Roman"/>
      <w:sz w:val="24"/>
      <w:szCs w:val="24"/>
    </w:rPr>
  </w:style>
  <w:style w:type="character" w:styleId="FollowedHyperlink">
    <w:name w:val="FollowedHyperlink"/>
    <w:basedOn w:val="DefaultParagraphFont"/>
    <w:uiPriority w:val="99"/>
    <w:semiHidden/>
    <w:unhideWhenUsed/>
    <w:rsid w:val="002821DC"/>
    <w:rPr>
      <w:color w:val="800080" w:themeColor="followedHyperlink"/>
      <w:u w:val="single"/>
    </w:rPr>
  </w:style>
  <w:style w:type="paragraph" w:styleId="NoSpacing">
    <w:name w:val="No Spacing"/>
    <w:uiPriority w:val="99"/>
    <w:qFormat/>
    <w:rsid w:val="00730F89"/>
    <w:rPr>
      <w:rFonts w:ascii="Arial" w:eastAsia="Calibr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03180">
      <w:bodyDiv w:val="1"/>
      <w:marLeft w:val="0"/>
      <w:marRight w:val="0"/>
      <w:marTop w:val="0"/>
      <w:marBottom w:val="0"/>
      <w:divBdr>
        <w:top w:val="none" w:sz="0" w:space="0" w:color="auto"/>
        <w:left w:val="none" w:sz="0" w:space="0" w:color="auto"/>
        <w:bottom w:val="none" w:sz="0" w:space="0" w:color="auto"/>
        <w:right w:val="none" w:sz="0" w:space="0" w:color="auto"/>
      </w:divBdr>
    </w:div>
    <w:div w:id="936719660">
      <w:bodyDiv w:val="1"/>
      <w:marLeft w:val="0"/>
      <w:marRight w:val="0"/>
      <w:marTop w:val="0"/>
      <w:marBottom w:val="0"/>
      <w:divBdr>
        <w:top w:val="none" w:sz="0" w:space="0" w:color="auto"/>
        <w:left w:val="none" w:sz="0" w:space="0" w:color="auto"/>
        <w:bottom w:val="none" w:sz="0" w:space="0" w:color="auto"/>
        <w:right w:val="none" w:sz="0" w:space="0" w:color="auto"/>
      </w:divBdr>
    </w:div>
    <w:div w:id="1088963905">
      <w:bodyDiv w:val="1"/>
      <w:marLeft w:val="0"/>
      <w:marRight w:val="0"/>
      <w:marTop w:val="0"/>
      <w:marBottom w:val="0"/>
      <w:divBdr>
        <w:top w:val="none" w:sz="0" w:space="0" w:color="auto"/>
        <w:left w:val="none" w:sz="0" w:space="0" w:color="auto"/>
        <w:bottom w:val="none" w:sz="0" w:space="0" w:color="auto"/>
        <w:right w:val="none" w:sz="0" w:space="0" w:color="auto"/>
      </w:divBdr>
    </w:div>
    <w:div w:id="1839689564">
      <w:bodyDiv w:val="1"/>
      <w:marLeft w:val="0"/>
      <w:marRight w:val="0"/>
      <w:marTop w:val="0"/>
      <w:marBottom w:val="0"/>
      <w:divBdr>
        <w:top w:val="none" w:sz="0" w:space="0" w:color="auto"/>
        <w:left w:val="none" w:sz="0" w:space="0" w:color="auto"/>
        <w:bottom w:val="none" w:sz="0" w:space="0" w:color="auto"/>
        <w:right w:val="none" w:sz="0" w:space="0" w:color="auto"/>
      </w:divBdr>
    </w:div>
    <w:div w:id="1981035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ferencebudgets.e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c.europa.eu/social/main.jsp?catId=104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urodiaconia.org/wordpress/wp-content/uploads/2015/08/topical-report_minimum_income_2014.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xUriServ/LexUriServ.do?uri=OJ:L:2008:307:0011:0014:EN:PDF" TargetMode="External"/><Relationship Id="rId5" Type="http://schemas.openxmlformats.org/officeDocument/2006/relationships/numbering" Target="numbering.xml"/><Relationship Id="rId15" Type="http://schemas.openxmlformats.org/officeDocument/2006/relationships/hyperlink" Target="http://www.referencebudgets.eu/budgets/images/Papers/ke-02-15-393-en-final%20published.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ferencebudgets.eu/budgets/images/Papers/ke-02-15-392-en-method%20paper_published.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t.signauxhuit.com/e1t/c/5/f18dQhb0S7lC8dDMPbW2n0x6l2B9nMJN7t5XZsRbPVHN2zhwWYfmQbKW8qC6LR56dJqxf4Lff3F02?t=http%3a%2f%2fec.europa.eu%2fsocial%2feasi&amp;si=5863428270325760&amp;pi=ca44b045-4662-4c92-a895-07c8309ea308" TargetMode="External"/><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www.referencebudgets.eu/budgets/index.php?option=com_content&amp;task=view&amp;id=25&amp;Itemid=38" TargetMode="External"/><Relationship Id="rId2" Type="http://schemas.openxmlformats.org/officeDocument/2006/relationships/hyperlink" Target="http://www.eurodiaconia.org/2015/12/briefing-on-key-barriers-to-adequate-minimum-income-schemes-out-now/" TargetMode="External"/><Relationship Id="rId1" Type="http://schemas.openxmlformats.org/officeDocument/2006/relationships/hyperlink" Target="http://ec.europa.eu/social/main.jsp?langId=en&amp;catId=1044&amp;newsId=1807&amp;furtherNews=y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ABDC4FDD96334895BBEDA1FF0D3846" ma:contentTypeVersion="2" ma:contentTypeDescription="Create a new document." ma:contentTypeScope="" ma:versionID="1481b57a6872ccc3ff3b09fee0b1041d">
  <xsd:schema xmlns:xsd="http://www.w3.org/2001/XMLSchema" xmlns:xs="http://www.w3.org/2001/XMLSchema" xmlns:p="http://schemas.microsoft.com/office/2006/metadata/properties" xmlns:ns2="54c7e114-63e9-4845-99f0-558d34a78a4c" targetNamespace="http://schemas.microsoft.com/office/2006/metadata/properties" ma:root="true" ma:fieldsID="f9cd8a9cde54aea7d1c49ef954dbb0f8" ns2:_="">
    <xsd:import namespace="54c7e114-63e9-4845-99f0-558d34a78a4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7e114-63e9-4845-99f0-558d34a78a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9E73D-6D3B-4913-80DA-D06B28D9E3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1FFE0C-4647-4452-9A4A-8942A7D19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7e114-63e9-4845-99f0-558d34a78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097BEC-4219-4D7C-92CF-0BABCC4FB1C3}">
  <ds:schemaRefs>
    <ds:schemaRef ds:uri="http://schemas.microsoft.com/sharepoint/v3/contenttype/forms"/>
  </ds:schemaRefs>
</ds:datastoreItem>
</file>

<file path=customXml/itemProps4.xml><?xml version="1.0" encoding="utf-8"?>
<ds:datastoreItem xmlns:ds="http://schemas.openxmlformats.org/officeDocument/2006/customXml" ds:itemID="{6DBFC54B-DBED-47B6-9740-E30378D9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Edustries</Company>
  <LinksUpToDate>false</LinksUpToDate>
  <CharactersWithSpaces>10487</CharactersWithSpaces>
  <SharedDoc>false</SharedDoc>
  <HLinks>
    <vt:vector size="12" baseType="variant">
      <vt:variant>
        <vt:i4>3342437</vt:i4>
      </vt:variant>
      <vt:variant>
        <vt:i4>3</vt:i4>
      </vt:variant>
      <vt:variant>
        <vt:i4>0</vt:i4>
      </vt:variant>
      <vt:variant>
        <vt:i4>5</vt:i4>
      </vt:variant>
      <vt:variant>
        <vt:lpwstr>http://www.statistics.gov.uk/downloads/theme_health/Males_Females_Persons _HLE.xls</vt:lpwstr>
      </vt:variant>
      <vt:variant>
        <vt:lpwstr/>
      </vt:variant>
      <vt:variant>
        <vt:i4>4194336</vt:i4>
      </vt:variant>
      <vt:variant>
        <vt:i4>0</vt:i4>
      </vt:variant>
      <vt:variant>
        <vt:i4>0</vt:i4>
      </vt:variant>
      <vt:variant>
        <vt:i4>5</vt:i4>
      </vt:variant>
      <vt:variant>
        <vt:lpwstr>http://www.eurodiaconia.org/index.php?option=com_content&amp;task=view&amp;id=301&amp;Itemid=292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Derobert</dc:creator>
  <cp:lastModifiedBy>stephan burger</cp:lastModifiedBy>
  <cp:revision>10</cp:revision>
  <cp:lastPrinted>2010-01-05T16:04:00Z</cp:lastPrinted>
  <dcterms:created xsi:type="dcterms:W3CDTF">2015-12-16T17:24:00Z</dcterms:created>
  <dcterms:modified xsi:type="dcterms:W3CDTF">2015-12-17T16:02:00Z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0x0101002FABDC4FDD96334895BBEDA1FF0D3846</vt:lpwstr>
  </property>
</Properties>
</file>